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9E258A" w14:textId="77777777" w:rsidR="00716B92" w:rsidRDefault="00716B92">
      <w:pPr>
        <w:rPr>
          <w:lang w:bidi="he-IL"/>
        </w:rPr>
      </w:pPr>
    </w:p>
    <w:p w14:paraId="01131167" w14:textId="77777777" w:rsidR="004E087B" w:rsidRPr="00BE3D2D" w:rsidRDefault="004E087B" w:rsidP="45508A28">
      <w:pPr>
        <w:spacing w:after="0" w:line="25" w:lineRule="atLeast"/>
        <w:jc w:val="center"/>
        <w:rPr>
          <w:rFonts w:ascii="David" w:eastAsia="David" w:hAnsi="David" w:cs="David"/>
          <w:b/>
          <w:bCs/>
          <w:color w:val="000000" w:themeColor="text1"/>
          <w:sz w:val="24"/>
          <w:szCs w:val="24"/>
          <w:u w:val="single"/>
          <w:lang w:bidi="he-IL"/>
        </w:rPr>
      </w:pPr>
    </w:p>
    <w:p w14:paraId="538F4FF8" w14:textId="77777777" w:rsidR="547E5E3C" w:rsidRPr="00BE3D2D" w:rsidRDefault="547E5E3C" w:rsidP="45508A28">
      <w:pPr>
        <w:spacing w:after="0" w:line="25" w:lineRule="atLeast"/>
        <w:jc w:val="center"/>
        <w:rPr>
          <w:rFonts w:ascii="David" w:eastAsia="David" w:hAnsi="David" w:cs="David"/>
          <w:color w:val="000000" w:themeColor="text1"/>
          <w:sz w:val="24"/>
          <w:szCs w:val="24"/>
        </w:rPr>
      </w:pPr>
      <w:r w:rsidRPr="00BE3D2D">
        <w:rPr>
          <w:rFonts w:ascii="David" w:eastAsia="David" w:hAnsi="David" w:cs="David"/>
          <w:b/>
          <w:bCs/>
          <w:color w:val="000000" w:themeColor="text1"/>
          <w:sz w:val="24"/>
          <w:szCs w:val="24"/>
          <w:u w:val="single"/>
          <w:rtl/>
          <w:lang w:bidi="he-IL"/>
        </w:rPr>
        <w:t xml:space="preserve">נספח ב' </w:t>
      </w:r>
      <w:r w:rsidRPr="00BE3D2D">
        <w:rPr>
          <w:rFonts w:ascii="David" w:eastAsia="David" w:hAnsi="David" w:cs="David"/>
          <w:b/>
          <w:bCs/>
          <w:color w:val="000000" w:themeColor="text1"/>
          <w:sz w:val="24"/>
          <w:szCs w:val="24"/>
          <w:u w:val="single"/>
          <w:rtl/>
        </w:rPr>
        <w:t>–</w:t>
      </w:r>
      <w:r w:rsidRPr="00BE3D2D">
        <w:rPr>
          <w:rFonts w:ascii="David" w:eastAsia="David" w:hAnsi="David" w:cs="David"/>
          <w:b/>
          <w:bCs/>
          <w:color w:val="000000" w:themeColor="text1"/>
          <w:sz w:val="24"/>
          <w:szCs w:val="24"/>
          <w:u w:val="single"/>
          <w:rtl/>
          <w:lang w:bidi="he-IL"/>
        </w:rPr>
        <w:t xml:space="preserve"> מענה לשאלות הבהרה</w:t>
      </w:r>
    </w:p>
    <w:p w14:paraId="3BFBB5BC" w14:textId="77777777" w:rsidR="45508A28" w:rsidRDefault="45508A28" w:rsidP="45508A28">
      <w:pPr>
        <w:spacing w:after="0" w:line="25" w:lineRule="atLeast"/>
        <w:jc w:val="both"/>
        <w:rPr>
          <w:rFonts w:ascii="David" w:eastAsia="David" w:hAnsi="David" w:cs="David"/>
          <w:color w:val="000000" w:themeColor="text1"/>
          <w:sz w:val="20"/>
          <w:szCs w:val="20"/>
        </w:rPr>
      </w:pPr>
    </w:p>
    <w:p w14:paraId="4277CE08" w14:textId="77777777" w:rsidR="45508A28" w:rsidRDefault="45508A28" w:rsidP="45508A28">
      <w:pPr>
        <w:spacing w:after="0" w:line="25" w:lineRule="atLeast"/>
        <w:jc w:val="both"/>
        <w:rPr>
          <w:rFonts w:ascii="David" w:eastAsia="David" w:hAnsi="David" w:cs="David"/>
          <w:color w:val="000000" w:themeColor="text1"/>
          <w:sz w:val="20"/>
          <w:szCs w:val="20"/>
        </w:rPr>
      </w:pPr>
    </w:p>
    <w:tbl>
      <w:tblPr>
        <w:tblStyle w:val="a3"/>
        <w:tblW w:w="5000" w:type="pct"/>
        <w:jc w:val="right"/>
        <w:tblLook w:val="0000" w:firstRow="0" w:lastRow="0" w:firstColumn="0" w:lastColumn="0" w:noHBand="0" w:noVBand="0"/>
      </w:tblPr>
      <w:tblGrid>
        <w:gridCol w:w="4256"/>
        <w:gridCol w:w="4260"/>
        <w:gridCol w:w="834"/>
      </w:tblGrid>
      <w:tr w:rsidR="003620F4" w14:paraId="34EA5D38" w14:textId="77777777" w:rsidTr="00BE3D2D">
        <w:trPr>
          <w:jc w:val="right"/>
        </w:trPr>
        <w:tc>
          <w:tcPr>
            <w:tcW w:w="2276" w:type="pct"/>
          </w:tcPr>
          <w:p w14:paraId="0927CF7E" w14:textId="3AA0B68D" w:rsidR="003620F4" w:rsidRPr="71468391" w:rsidRDefault="003620F4" w:rsidP="00CA7516">
            <w:pPr>
              <w:bidi/>
              <w:spacing w:before="120" w:after="120" w:line="360" w:lineRule="auto"/>
              <w:ind w:left="567"/>
              <w:jc w:val="center"/>
              <w:rPr>
                <w:rFonts w:ascii="David" w:eastAsia="David" w:hAnsi="David" w:cs="David"/>
                <w:b/>
                <w:bCs/>
                <w:rtl/>
                <w:lang w:bidi="he-IL"/>
              </w:rPr>
            </w:pPr>
            <w:r>
              <w:rPr>
                <w:rFonts w:ascii="David" w:eastAsia="David" w:hAnsi="David" w:cs="David" w:hint="cs"/>
                <w:b/>
                <w:bCs/>
                <w:rtl/>
                <w:lang w:bidi="he-IL"/>
              </w:rPr>
              <w:t xml:space="preserve">תשובת ועדת </w:t>
            </w:r>
            <w:r w:rsidR="00BE3D2D">
              <w:rPr>
                <w:rFonts w:ascii="David" w:eastAsia="David" w:hAnsi="David" w:cs="David" w:hint="cs"/>
                <w:b/>
                <w:bCs/>
                <w:rtl/>
                <w:lang w:bidi="he-IL"/>
              </w:rPr>
              <w:t>ה</w:t>
            </w:r>
            <w:r>
              <w:rPr>
                <w:rFonts w:ascii="David" w:eastAsia="David" w:hAnsi="David" w:cs="David" w:hint="cs"/>
                <w:b/>
                <w:bCs/>
                <w:rtl/>
                <w:lang w:bidi="he-IL"/>
              </w:rPr>
              <w:t>מכרזים</w:t>
            </w:r>
          </w:p>
        </w:tc>
        <w:tc>
          <w:tcPr>
            <w:tcW w:w="2278" w:type="pct"/>
          </w:tcPr>
          <w:p w14:paraId="574FCC4B" w14:textId="77777777" w:rsidR="003620F4" w:rsidRDefault="003620F4" w:rsidP="00CA7516">
            <w:pPr>
              <w:bidi/>
              <w:spacing w:before="120" w:after="120" w:line="360" w:lineRule="auto"/>
              <w:jc w:val="center"/>
              <w:rPr>
                <w:rFonts w:ascii="David" w:eastAsia="David" w:hAnsi="David" w:cs="David"/>
                <w:rtl/>
                <w:lang w:bidi="he-IL"/>
              </w:rPr>
            </w:pPr>
            <w:r w:rsidRPr="71468391">
              <w:rPr>
                <w:rFonts w:ascii="David" w:eastAsia="David" w:hAnsi="David" w:cs="David"/>
                <w:b/>
                <w:bCs/>
                <w:rtl/>
                <w:lang w:bidi="he-IL"/>
              </w:rPr>
              <w:t>שאלה</w:t>
            </w:r>
          </w:p>
        </w:tc>
        <w:tc>
          <w:tcPr>
            <w:tcW w:w="446" w:type="pct"/>
          </w:tcPr>
          <w:p w14:paraId="2B5D49F1" w14:textId="77777777" w:rsidR="003620F4" w:rsidRDefault="003620F4" w:rsidP="71468391">
            <w:pPr>
              <w:bidi/>
              <w:spacing w:before="120" w:after="120" w:line="360" w:lineRule="auto"/>
              <w:jc w:val="center"/>
              <w:rPr>
                <w:rFonts w:ascii="David" w:eastAsia="David" w:hAnsi="David" w:cs="David"/>
              </w:rPr>
            </w:pPr>
            <w:r w:rsidRPr="71468391">
              <w:rPr>
                <w:rFonts w:ascii="David" w:eastAsia="David" w:hAnsi="David" w:cs="David"/>
                <w:b/>
                <w:bCs/>
                <w:rtl/>
                <w:lang w:bidi="he-IL"/>
              </w:rPr>
              <w:t>מספר הסעיף בפנייה</w:t>
            </w:r>
          </w:p>
        </w:tc>
      </w:tr>
      <w:tr w:rsidR="00BE3D2D" w14:paraId="485249F5" w14:textId="77777777" w:rsidTr="003B4DD0">
        <w:trPr>
          <w:jc w:val="right"/>
        </w:trPr>
        <w:tc>
          <w:tcPr>
            <w:tcW w:w="2276" w:type="pct"/>
          </w:tcPr>
          <w:p w14:paraId="60B23B36" w14:textId="77777777" w:rsidR="00BE3D2D" w:rsidRDefault="00BE3D2D" w:rsidP="00BE3D2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bidi/>
              <w:spacing w:before="120" w:line="360" w:lineRule="auto"/>
              <w:jc w:val="both"/>
              <w:rPr>
                <w:rFonts w:eastAsia="Calibri" w:cs="David"/>
                <w:sz w:val="24"/>
                <w:szCs w:val="24"/>
                <w:rtl/>
              </w:rPr>
            </w:pPr>
            <w:r w:rsidRPr="001A5D2C">
              <w:rPr>
                <w:rFonts w:eastAsia="Calibri" w:cs="David"/>
                <w:sz w:val="24"/>
                <w:szCs w:val="24"/>
                <w:rtl/>
              </w:rPr>
              <w:t>המשיב לפניה זו אינו מחויב במענה לכלל השאלות או הסעיפים המפורטים מטה.</w:t>
            </w:r>
            <w:r>
              <w:rPr>
                <w:rFonts w:eastAsia="Calibri" w:cs="David" w:hint="cs"/>
                <w:sz w:val="24"/>
                <w:szCs w:val="24"/>
                <w:rtl/>
              </w:rPr>
              <w:t xml:space="preserve">  ניתן להשיב בהתייחס לכל סעיף או בפיתרון משולב, בהתאם להעדפתו של המשיב.</w:t>
            </w:r>
          </w:p>
          <w:p w14:paraId="3019C2BB" w14:textId="30966507" w:rsidR="00BE3D2D" w:rsidRPr="003A20C4" w:rsidRDefault="00BE3D2D" w:rsidP="00BE3D2D">
            <w:pPr>
              <w:bidi/>
              <w:spacing w:before="120" w:after="120" w:line="360" w:lineRule="auto"/>
              <w:jc w:val="both"/>
              <w:rPr>
                <w:rFonts w:ascii="David" w:eastAsia="David" w:hAnsi="David" w:cs="David"/>
                <w:color w:val="000000" w:themeColor="text1"/>
                <w:sz w:val="24"/>
                <w:szCs w:val="24"/>
                <w:rtl/>
                <w:lang w:bidi="he-IL"/>
              </w:rPr>
            </w:pPr>
            <w:r>
              <w:rPr>
                <w:rFonts w:eastAsia="Calibri" w:cs="David" w:hint="cs"/>
                <w:sz w:val="24"/>
                <w:szCs w:val="24"/>
                <w:rtl/>
              </w:rPr>
              <w:t xml:space="preserve">ככל שיתקבל מענה המקיף סעיפים רבים יותר בפניה, כך יוכל  המזמין להיערך בצורה טובה יותר לביצוע המכרז.    </w:t>
            </w:r>
          </w:p>
        </w:tc>
        <w:tc>
          <w:tcPr>
            <w:tcW w:w="2278" w:type="pct"/>
          </w:tcPr>
          <w:p w14:paraId="675057F9" w14:textId="14AE924A" w:rsidR="00BE3D2D" w:rsidRPr="00BE3D2D" w:rsidRDefault="00BE3D2D" w:rsidP="00BE3D2D">
            <w:pPr>
              <w:bidi/>
              <w:spacing w:before="120" w:after="120" w:line="360" w:lineRule="auto"/>
              <w:jc w:val="both"/>
              <w:rPr>
                <w:rFonts w:ascii="David" w:eastAsia="David" w:hAnsi="David" w:cs="David" w:hint="cs"/>
                <w:color w:val="000000" w:themeColor="text1"/>
                <w:sz w:val="24"/>
                <w:szCs w:val="24"/>
                <w:rtl/>
                <w:lang w:bidi="he-IL"/>
              </w:rPr>
            </w:pPr>
            <w:r w:rsidRPr="00801B12">
              <w:rPr>
                <w:rFonts w:eastAsia="Calibri" w:cs="David"/>
                <w:sz w:val="24"/>
                <w:szCs w:val="24"/>
                <w:rtl/>
              </w:rPr>
              <w:t>האם יש צורך להגשה נפר</w:t>
            </w:r>
            <w:r>
              <w:rPr>
                <w:rFonts w:eastAsia="Calibri" w:cs="David" w:hint="cs"/>
                <w:sz w:val="24"/>
                <w:szCs w:val="24"/>
                <w:rtl/>
              </w:rPr>
              <w:t>ד</w:t>
            </w:r>
            <w:r w:rsidRPr="00801B12">
              <w:rPr>
                <w:rFonts w:eastAsia="Calibri" w:cs="David"/>
                <w:sz w:val="24"/>
                <w:szCs w:val="24"/>
                <w:rtl/>
              </w:rPr>
              <w:t>ת לכל סעיף או שיש צורך להגיש פיתרון משולב</w:t>
            </w:r>
            <w:r>
              <w:rPr>
                <w:rFonts w:eastAsia="Calibri" w:cs="David" w:hint="cs"/>
                <w:sz w:val="24"/>
                <w:szCs w:val="24"/>
                <w:rtl/>
              </w:rPr>
              <w:t xml:space="preserve">? </w:t>
            </w:r>
            <w:r w:rsidRPr="00801B12">
              <w:rPr>
                <w:rFonts w:eastAsia="Calibri" w:cs="David"/>
                <w:sz w:val="24"/>
                <w:szCs w:val="24"/>
                <w:rtl/>
              </w:rPr>
              <w:t>האם יש אפשרות להגיש רק לאחד הסעיפים</w:t>
            </w:r>
            <w:r>
              <w:rPr>
                <w:rFonts w:eastAsia="Calibri" w:cs="David" w:hint="cs"/>
                <w:sz w:val="24"/>
                <w:szCs w:val="24"/>
                <w:rtl/>
              </w:rPr>
              <w:t xml:space="preserve">? </w:t>
            </w:r>
          </w:p>
        </w:tc>
        <w:tc>
          <w:tcPr>
            <w:tcW w:w="446" w:type="pct"/>
          </w:tcPr>
          <w:p w14:paraId="104BD5B5" w14:textId="082EE512" w:rsidR="00BE3D2D" w:rsidRDefault="00BE3D2D" w:rsidP="00BE3D2D">
            <w:pPr>
              <w:bidi/>
              <w:spacing w:line="360" w:lineRule="auto"/>
              <w:jc w:val="both"/>
              <w:rPr>
                <w:rFonts w:ascii="David" w:eastAsia="David" w:hAnsi="David" w:cs="David" w:hint="cs"/>
                <w:sz w:val="24"/>
                <w:szCs w:val="24"/>
                <w:rtl/>
                <w:lang w:bidi="he-IL"/>
              </w:rPr>
            </w:pPr>
            <w:r w:rsidRPr="00205E99">
              <w:rPr>
                <w:rFonts w:ascii="David" w:eastAsia="David" w:hAnsi="David" w:cs="David"/>
                <w:sz w:val="24"/>
                <w:szCs w:val="24"/>
                <w:rtl/>
              </w:rPr>
              <w:t>1.1.1 + 1.1.2</w:t>
            </w:r>
          </w:p>
        </w:tc>
      </w:tr>
      <w:tr w:rsidR="00BE3D2D" w14:paraId="5795D481" w14:textId="77777777" w:rsidTr="00BE3D2D">
        <w:trPr>
          <w:jc w:val="right"/>
        </w:trPr>
        <w:tc>
          <w:tcPr>
            <w:tcW w:w="2276" w:type="pct"/>
          </w:tcPr>
          <w:p w14:paraId="1E070FCD" w14:textId="77777777" w:rsidR="00BE3D2D" w:rsidRPr="003620F4" w:rsidRDefault="00BE3D2D" w:rsidP="00BE3D2D">
            <w:pPr>
              <w:bidi/>
              <w:spacing w:before="120" w:after="120" w:line="360" w:lineRule="auto"/>
              <w:jc w:val="both"/>
              <w:rPr>
                <w:rFonts w:ascii="David" w:eastAsia="David" w:hAnsi="David" w:cs="David"/>
                <w:color w:val="000000" w:themeColor="text1"/>
                <w:sz w:val="24"/>
                <w:szCs w:val="24"/>
                <w:rtl/>
                <w:lang w:bidi="he-IL"/>
              </w:rPr>
            </w:pPr>
            <w:r w:rsidRPr="003A20C4">
              <w:rPr>
                <w:rFonts w:ascii="David" w:eastAsia="David" w:hAnsi="David" w:cs="David"/>
                <w:color w:val="000000" w:themeColor="text1"/>
                <w:sz w:val="24"/>
                <w:szCs w:val="24"/>
                <w:rtl/>
                <w:lang w:bidi="he-IL"/>
              </w:rPr>
              <w:t>סוגיות אלו יבחנו לאחר שיוחלט על אופי המנגנון ובה</w:t>
            </w:r>
            <w:r>
              <w:rPr>
                <w:rFonts w:ascii="David" w:eastAsia="David" w:hAnsi="David" w:cs="David"/>
                <w:color w:val="000000" w:themeColor="text1"/>
                <w:sz w:val="24"/>
                <w:szCs w:val="24"/>
                <w:rtl/>
                <w:lang w:bidi="he-IL"/>
              </w:rPr>
              <w:t>תאם, בין היתר, להתייחסות המ</w:t>
            </w:r>
            <w:r>
              <w:rPr>
                <w:rFonts w:ascii="David" w:eastAsia="David" w:hAnsi="David" w:cs="David" w:hint="cs"/>
                <w:color w:val="000000" w:themeColor="text1"/>
                <w:sz w:val="24"/>
                <w:szCs w:val="24"/>
                <w:rtl/>
                <w:lang w:bidi="he-IL"/>
              </w:rPr>
              <w:t>שיבים</w:t>
            </w:r>
            <w:r w:rsidRPr="003A20C4">
              <w:rPr>
                <w:rFonts w:ascii="David" w:eastAsia="David" w:hAnsi="David" w:cs="David"/>
                <w:color w:val="000000" w:themeColor="text1"/>
                <w:sz w:val="24"/>
                <w:szCs w:val="24"/>
                <w:rtl/>
                <w:lang w:bidi="he-IL"/>
              </w:rPr>
              <w:t xml:space="preserve"> לפניה זו.</w:t>
            </w:r>
          </w:p>
        </w:tc>
        <w:tc>
          <w:tcPr>
            <w:tcW w:w="2278" w:type="pct"/>
            <w:vAlign w:val="center"/>
          </w:tcPr>
          <w:p w14:paraId="0FF5F8E0" w14:textId="77777777" w:rsidR="00BE3D2D" w:rsidRPr="000152C3" w:rsidRDefault="00BE3D2D" w:rsidP="00BE3D2D">
            <w:pPr>
              <w:pStyle w:val="a4"/>
              <w:numPr>
                <w:ilvl w:val="0"/>
                <w:numId w:val="1"/>
              </w:numPr>
              <w:bidi/>
              <w:spacing w:before="120" w:after="120" w:line="360" w:lineRule="auto"/>
              <w:jc w:val="both"/>
              <w:rPr>
                <w:rFonts w:ascii="David" w:eastAsia="David" w:hAnsi="David" w:cs="David"/>
                <w:color w:val="000000" w:themeColor="text1"/>
                <w:sz w:val="24"/>
                <w:szCs w:val="24"/>
                <w:lang w:bidi="he-IL"/>
              </w:rPr>
            </w:pPr>
            <w:r w:rsidRPr="000152C3">
              <w:rPr>
                <w:rFonts w:ascii="David" w:eastAsia="David" w:hAnsi="David" w:cs="David" w:hint="cs"/>
                <w:color w:val="000000" w:themeColor="text1"/>
                <w:sz w:val="24"/>
                <w:szCs w:val="24"/>
                <w:rtl/>
                <w:lang w:bidi="he-IL"/>
              </w:rPr>
              <w:t>האם מודל של הלוואות ללא ריבית שתפעולן אינו ממומן מריבית אלא מהקרן המוצעת עצמה הינו מודל אפשרי?</w:t>
            </w:r>
          </w:p>
          <w:p w14:paraId="6A597533" w14:textId="77777777" w:rsidR="00BE3D2D" w:rsidRPr="000152C3" w:rsidRDefault="00BE3D2D" w:rsidP="00BE3D2D">
            <w:pPr>
              <w:pStyle w:val="a4"/>
              <w:numPr>
                <w:ilvl w:val="0"/>
                <w:numId w:val="1"/>
              </w:numPr>
              <w:bidi/>
              <w:spacing w:before="120" w:after="120" w:line="360" w:lineRule="auto"/>
              <w:jc w:val="both"/>
              <w:rPr>
                <w:rFonts w:ascii="David" w:eastAsia="David" w:hAnsi="David" w:cs="David"/>
                <w:color w:val="000000" w:themeColor="text1"/>
                <w:sz w:val="24"/>
                <w:szCs w:val="24"/>
                <w:lang w:bidi="he-IL"/>
              </w:rPr>
            </w:pPr>
            <w:r w:rsidRPr="000152C3">
              <w:rPr>
                <w:rFonts w:ascii="David" w:eastAsia="David" w:hAnsi="David" w:cs="David" w:hint="cs"/>
                <w:color w:val="000000" w:themeColor="text1"/>
                <w:sz w:val="24"/>
                <w:szCs w:val="24"/>
                <w:rtl/>
                <w:lang w:bidi="he-IL"/>
              </w:rPr>
              <w:t>האם לגובה הריבית שמציע המגיש תהיה השפעה בדירוג במכרז?</w:t>
            </w:r>
          </w:p>
        </w:tc>
        <w:tc>
          <w:tcPr>
            <w:tcW w:w="446" w:type="pct"/>
            <w:vAlign w:val="center"/>
          </w:tcPr>
          <w:p w14:paraId="04F21ED7" w14:textId="77777777" w:rsidR="00BE3D2D" w:rsidRDefault="00BE3D2D" w:rsidP="00BE3D2D">
            <w:pPr>
              <w:bidi/>
              <w:spacing w:line="360" w:lineRule="auto"/>
              <w:jc w:val="both"/>
              <w:rPr>
                <w:rFonts w:ascii="David" w:eastAsia="David" w:hAnsi="David" w:cs="David"/>
                <w:sz w:val="24"/>
                <w:szCs w:val="24"/>
                <w:lang w:bidi="he-IL"/>
              </w:rPr>
            </w:pPr>
            <w:r>
              <w:rPr>
                <w:rFonts w:ascii="David" w:eastAsia="David" w:hAnsi="David" w:cs="David" w:hint="cs"/>
                <w:sz w:val="24"/>
                <w:szCs w:val="24"/>
                <w:rtl/>
                <w:lang w:bidi="he-IL"/>
              </w:rPr>
              <w:t>2.5.1</w:t>
            </w:r>
          </w:p>
        </w:tc>
      </w:tr>
      <w:tr w:rsidR="00BE3D2D" w14:paraId="60982BBB" w14:textId="77777777" w:rsidTr="00BE3D2D">
        <w:trPr>
          <w:jc w:val="right"/>
        </w:trPr>
        <w:tc>
          <w:tcPr>
            <w:tcW w:w="2276" w:type="pct"/>
          </w:tcPr>
          <w:p w14:paraId="2A062DC2" w14:textId="77777777" w:rsidR="00BE3D2D" w:rsidRPr="3D467637" w:rsidRDefault="00BE3D2D" w:rsidP="00BE3D2D">
            <w:pPr>
              <w:bidi/>
              <w:spacing w:before="120" w:after="120" w:line="360" w:lineRule="auto"/>
              <w:jc w:val="both"/>
              <w:rPr>
                <w:rFonts w:ascii="David" w:eastAsia="David" w:hAnsi="David" w:cs="David"/>
                <w:color w:val="000000" w:themeColor="text1"/>
                <w:sz w:val="24"/>
                <w:szCs w:val="24"/>
                <w:rtl/>
                <w:lang w:bidi="he-IL"/>
              </w:rPr>
            </w:pPr>
            <w:r>
              <w:rPr>
                <w:rFonts w:ascii="David" w:eastAsia="David" w:hAnsi="David" w:cs="David"/>
                <w:color w:val="000000" w:themeColor="text1"/>
                <w:sz w:val="24"/>
                <w:szCs w:val="24"/>
                <w:rtl/>
                <w:lang w:bidi="he-IL"/>
              </w:rPr>
              <w:t>ה</w:t>
            </w:r>
            <w:r>
              <w:rPr>
                <w:rFonts w:ascii="David" w:eastAsia="David" w:hAnsi="David" w:cs="David" w:hint="cs"/>
                <w:color w:val="000000" w:themeColor="text1"/>
                <w:sz w:val="24"/>
                <w:szCs w:val="24"/>
                <w:rtl/>
                <w:lang w:bidi="he-IL"/>
              </w:rPr>
              <w:t xml:space="preserve">מזמין ייקבע </w:t>
            </w:r>
            <w:r>
              <w:rPr>
                <w:rFonts w:ascii="David" w:eastAsia="David" w:hAnsi="David" w:cs="David"/>
                <w:color w:val="000000" w:themeColor="text1"/>
                <w:sz w:val="24"/>
                <w:szCs w:val="24"/>
                <w:rtl/>
                <w:lang w:bidi="he-IL"/>
              </w:rPr>
              <w:t>את אוכלוסיית הזכאים</w:t>
            </w:r>
            <w:r>
              <w:rPr>
                <w:rFonts w:ascii="David" w:eastAsia="David" w:hAnsi="David" w:cs="David" w:hint="cs"/>
                <w:color w:val="000000" w:themeColor="text1"/>
                <w:sz w:val="24"/>
                <w:szCs w:val="24"/>
                <w:rtl/>
                <w:lang w:bidi="he-IL"/>
              </w:rPr>
              <w:t xml:space="preserve"> לאחר קבלת התייחסות הגופים לפנייה זו. במסגרת סעיף 2.5.3.1 להליך </w:t>
            </w:r>
            <w:r>
              <w:rPr>
                <w:rFonts w:ascii="David" w:eastAsia="David" w:hAnsi="David" w:cs="David"/>
                <w:color w:val="000000" w:themeColor="text1"/>
                <w:sz w:val="24"/>
                <w:szCs w:val="24"/>
                <w:rtl/>
                <w:lang w:bidi="he-IL"/>
              </w:rPr>
              <w:t>מבקש</w:t>
            </w:r>
            <w:r w:rsidRPr="00E3309D">
              <w:rPr>
                <w:rFonts w:ascii="David" w:eastAsia="David" w:hAnsi="David" w:cs="David"/>
                <w:color w:val="000000" w:themeColor="text1"/>
                <w:sz w:val="24"/>
                <w:szCs w:val="24"/>
                <w:rtl/>
                <w:lang w:bidi="he-IL"/>
              </w:rPr>
              <w:t xml:space="preserve"> </w:t>
            </w:r>
            <w:r>
              <w:rPr>
                <w:rFonts w:ascii="David" w:eastAsia="David" w:hAnsi="David" w:cs="David"/>
                <w:color w:val="000000" w:themeColor="text1"/>
                <w:sz w:val="24"/>
                <w:szCs w:val="24"/>
                <w:rtl/>
                <w:lang w:bidi="he-IL"/>
              </w:rPr>
              <w:t>ה</w:t>
            </w:r>
            <w:r>
              <w:rPr>
                <w:rFonts w:ascii="David" w:eastAsia="David" w:hAnsi="David" w:cs="David" w:hint="cs"/>
                <w:color w:val="000000" w:themeColor="text1"/>
                <w:sz w:val="24"/>
                <w:szCs w:val="24"/>
                <w:rtl/>
                <w:lang w:bidi="he-IL"/>
              </w:rPr>
              <w:t>מזמין</w:t>
            </w:r>
            <w:r>
              <w:rPr>
                <w:rFonts w:ascii="David" w:eastAsia="David" w:hAnsi="David" w:cs="David"/>
                <w:color w:val="000000" w:themeColor="text1"/>
                <w:sz w:val="24"/>
                <w:szCs w:val="24"/>
                <w:rtl/>
                <w:lang w:bidi="he-IL"/>
              </w:rPr>
              <w:t xml:space="preserve"> </w:t>
            </w:r>
            <w:r w:rsidRPr="00E3309D">
              <w:rPr>
                <w:rFonts w:ascii="David" w:eastAsia="David" w:hAnsi="David" w:cs="David"/>
                <w:color w:val="000000" w:themeColor="text1"/>
                <w:sz w:val="24"/>
                <w:szCs w:val="24"/>
                <w:rtl/>
                <w:lang w:bidi="he-IL"/>
              </w:rPr>
              <w:t xml:space="preserve">לקבל </w:t>
            </w:r>
            <w:r>
              <w:rPr>
                <w:rFonts w:ascii="David" w:eastAsia="David" w:hAnsi="David" w:cs="David" w:hint="cs"/>
                <w:color w:val="000000" w:themeColor="text1"/>
                <w:sz w:val="24"/>
                <w:szCs w:val="24"/>
                <w:rtl/>
                <w:lang w:bidi="he-IL"/>
              </w:rPr>
              <w:t>א</w:t>
            </w:r>
            <w:r w:rsidRPr="00E3309D">
              <w:rPr>
                <w:rFonts w:ascii="David" w:eastAsia="David" w:hAnsi="David" w:cs="David"/>
                <w:color w:val="000000" w:themeColor="text1"/>
                <w:sz w:val="24"/>
                <w:szCs w:val="24"/>
                <w:rtl/>
                <w:lang w:bidi="he-IL"/>
              </w:rPr>
              <w:t>ת התייחסות המשיבים אף לעניין זה.</w:t>
            </w:r>
          </w:p>
        </w:tc>
        <w:tc>
          <w:tcPr>
            <w:tcW w:w="2278" w:type="pct"/>
            <w:vAlign w:val="center"/>
          </w:tcPr>
          <w:p w14:paraId="4A163D99" w14:textId="77777777" w:rsidR="00BE3D2D" w:rsidRPr="00184B0C" w:rsidRDefault="00BE3D2D" w:rsidP="00BE3D2D">
            <w:pPr>
              <w:bidi/>
              <w:spacing w:before="120" w:after="120" w:line="360" w:lineRule="auto"/>
              <w:jc w:val="both"/>
              <w:rPr>
                <w:rFonts w:ascii="David" w:eastAsia="David" w:hAnsi="David" w:cs="David"/>
                <w:color w:val="000000" w:themeColor="text1"/>
                <w:sz w:val="24"/>
                <w:szCs w:val="24"/>
                <w:rtl/>
                <w:lang w:bidi="he-IL"/>
              </w:rPr>
            </w:pPr>
            <w:r w:rsidRPr="3D467637">
              <w:rPr>
                <w:rFonts w:ascii="David" w:eastAsia="David" w:hAnsi="David" w:cs="David"/>
                <w:color w:val="000000" w:themeColor="text1"/>
                <w:sz w:val="24"/>
                <w:szCs w:val="24"/>
                <w:rtl/>
                <w:lang w:bidi="he-IL"/>
              </w:rPr>
              <w:t>האם ההגדרה "בעלי אשראי נמוך" הינה אותה הגדרה שהייתה ב</w:t>
            </w:r>
            <w:r w:rsidRPr="00C44876">
              <w:rPr>
                <w:rFonts w:ascii="David" w:eastAsia="David" w:hAnsi="David" w:cs="David"/>
                <w:color w:val="000000" w:themeColor="text1"/>
                <w:sz w:val="24"/>
                <w:szCs w:val="24"/>
                <w:rtl/>
                <w:lang w:bidi="he-IL"/>
              </w:rPr>
              <w:t>מכרז פומבי מס</w:t>
            </w:r>
            <w:r w:rsidRPr="00C44876">
              <w:rPr>
                <w:rFonts w:ascii="David" w:eastAsia="David" w:hAnsi="David" w:cs="David"/>
                <w:color w:val="000000" w:themeColor="text1"/>
                <w:sz w:val="24"/>
                <w:szCs w:val="24"/>
                <w:lang w:bidi="he-IL"/>
              </w:rPr>
              <w:t>' 242/2020 </w:t>
            </w:r>
            <w:r w:rsidRPr="00C44876">
              <w:rPr>
                <w:rFonts w:ascii="David" w:eastAsia="David" w:hAnsi="David" w:cs="David"/>
                <w:color w:val="000000" w:themeColor="text1"/>
                <w:sz w:val="24"/>
                <w:szCs w:val="24"/>
                <w:rtl/>
                <w:lang w:bidi="he-IL"/>
              </w:rPr>
              <w:t xml:space="preserve">לבחירת בנק להעמדת הלוואות בהגנת מדינה </w:t>
            </w:r>
            <w:bookmarkStart w:id="0" w:name="_GoBack"/>
            <w:bookmarkEnd w:id="0"/>
            <w:r w:rsidRPr="00C44876">
              <w:rPr>
                <w:rFonts w:ascii="David" w:eastAsia="David" w:hAnsi="David" w:cs="David"/>
                <w:color w:val="000000" w:themeColor="text1"/>
                <w:sz w:val="24"/>
                <w:szCs w:val="24"/>
                <w:rtl/>
                <w:lang w:bidi="he-IL"/>
              </w:rPr>
              <w:t>לבעלי דירוג אשראי נמוך</w:t>
            </w:r>
            <w:r>
              <w:rPr>
                <w:rFonts w:ascii="David" w:eastAsia="David" w:hAnsi="David" w:cs="David" w:hint="cs"/>
                <w:color w:val="000000" w:themeColor="text1"/>
                <w:sz w:val="24"/>
                <w:szCs w:val="24"/>
                <w:rtl/>
                <w:lang w:bidi="he-IL"/>
              </w:rPr>
              <w:t xml:space="preserve"> </w:t>
            </w:r>
            <w:r w:rsidRPr="3D467637">
              <w:rPr>
                <w:rFonts w:ascii="David" w:eastAsia="David" w:hAnsi="David" w:cs="David"/>
                <w:color w:val="000000" w:themeColor="text1"/>
                <w:sz w:val="24"/>
                <w:szCs w:val="24"/>
                <w:rtl/>
                <w:lang w:bidi="he-IL"/>
              </w:rPr>
              <w:t>או שהמגיש יכול להציע הגדרה אחרת?</w:t>
            </w:r>
          </w:p>
        </w:tc>
        <w:tc>
          <w:tcPr>
            <w:tcW w:w="446" w:type="pct"/>
            <w:vAlign w:val="center"/>
          </w:tcPr>
          <w:p w14:paraId="5245F36B" w14:textId="77777777" w:rsidR="00BE3D2D" w:rsidRDefault="00BE3D2D" w:rsidP="00BE3D2D">
            <w:pPr>
              <w:bidi/>
              <w:spacing w:line="360" w:lineRule="auto"/>
              <w:jc w:val="both"/>
              <w:rPr>
                <w:rFonts w:ascii="David" w:eastAsia="David" w:hAnsi="David" w:cs="David"/>
                <w:sz w:val="24"/>
                <w:szCs w:val="24"/>
                <w:rtl/>
                <w:lang w:bidi="he-IL"/>
              </w:rPr>
            </w:pPr>
            <w:r>
              <w:rPr>
                <w:rFonts w:ascii="David" w:eastAsia="David" w:hAnsi="David" w:cs="David" w:hint="cs"/>
                <w:sz w:val="24"/>
                <w:szCs w:val="24"/>
                <w:rtl/>
                <w:lang w:bidi="he-IL"/>
              </w:rPr>
              <w:t>2.5.3.1</w:t>
            </w:r>
          </w:p>
        </w:tc>
      </w:tr>
      <w:tr w:rsidR="00BE3D2D" w14:paraId="6B513F30" w14:textId="77777777" w:rsidTr="00BE3D2D">
        <w:trPr>
          <w:jc w:val="right"/>
        </w:trPr>
        <w:tc>
          <w:tcPr>
            <w:tcW w:w="2276" w:type="pct"/>
          </w:tcPr>
          <w:p w14:paraId="48D2994C" w14:textId="77777777" w:rsidR="00BE3D2D" w:rsidRDefault="00BE3D2D" w:rsidP="00BE3D2D">
            <w:pPr>
              <w:pStyle w:val="a4"/>
              <w:numPr>
                <w:ilvl w:val="0"/>
                <w:numId w:val="8"/>
              </w:numPr>
              <w:bidi/>
              <w:spacing w:before="120" w:after="120" w:line="360" w:lineRule="auto"/>
              <w:jc w:val="both"/>
              <w:rPr>
                <w:rFonts w:ascii="David" w:eastAsia="David" w:hAnsi="David" w:cs="David"/>
                <w:color w:val="000000" w:themeColor="text1"/>
                <w:sz w:val="24"/>
                <w:szCs w:val="24"/>
                <w:lang w:bidi="he-IL"/>
              </w:rPr>
            </w:pPr>
            <w:r>
              <w:rPr>
                <w:rFonts w:ascii="David" w:eastAsia="David" w:hAnsi="David" w:cs="David" w:hint="cs"/>
                <w:color w:val="000000" w:themeColor="text1"/>
                <w:sz w:val="24"/>
                <w:szCs w:val="24"/>
                <w:rtl/>
                <w:lang w:bidi="he-IL"/>
              </w:rPr>
              <w:t>אופן ופעילות השיווק</w:t>
            </w:r>
            <w:r>
              <w:rPr>
                <w:rFonts w:ascii="David" w:eastAsia="David" w:hAnsi="David" w:cs="David"/>
                <w:color w:val="000000" w:themeColor="text1"/>
                <w:sz w:val="24"/>
                <w:szCs w:val="24"/>
                <w:rtl/>
                <w:lang w:bidi="he-IL"/>
              </w:rPr>
              <w:t xml:space="preserve"> </w:t>
            </w:r>
            <w:r>
              <w:rPr>
                <w:rFonts w:ascii="David" w:eastAsia="David" w:hAnsi="David" w:cs="David" w:hint="cs"/>
                <w:color w:val="000000" w:themeColor="text1"/>
                <w:sz w:val="24"/>
                <w:szCs w:val="24"/>
                <w:rtl/>
                <w:lang w:bidi="he-IL"/>
              </w:rPr>
              <w:t>ת</w:t>
            </w:r>
            <w:r>
              <w:rPr>
                <w:rFonts w:ascii="David" w:eastAsia="David" w:hAnsi="David" w:cs="David"/>
                <w:color w:val="000000" w:themeColor="text1"/>
                <w:sz w:val="24"/>
                <w:szCs w:val="24"/>
                <w:rtl/>
                <w:lang w:bidi="he-IL"/>
              </w:rPr>
              <w:t>קבע לאחר קבלת התייחסות המ</w:t>
            </w:r>
            <w:r>
              <w:rPr>
                <w:rFonts w:ascii="David" w:eastAsia="David" w:hAnsi="David" w:cs="David" w:hint="cs"/>
                <w:color w:val="000000" w:themeColor="text1"/>
                <w:sz w:val="24"/>
                <w:szCs w:val="24"/>
                <w:rtl/>
                <w:lang w:bidi="he-IL"/>
              </w:rPr>
              <w:t>שיבים</w:t>
            </w:r>
            <w:r w:rsidRPr="003620F4">
              <w:rPr>
                <w:rFonts w:ascii="David" w:eastAsia="David" w:hAnsi="David" w:cs="David"/>
                <w:color w:val="000000" w:themeColor="text1"/>
                <w:sz w:val="24"/>
                <w:szCs w:val="24"/>
                <w:rtl/>
                <w:lang w:bidi="he-IL"/>
              </w:rPr>
              <w:t xml:space="preserve"> לפניה זו.</w:t>
            </w:r>
          </w:p>
          <w:p w14:paraId="524FD5D2" w14:textId="19B73048" w:rsidR="00BE3D2D" w:rsidRPr="003620F4" w:rsidRDefault="00BE3D2D" w:rsidP="00BE3D2D">
            <w:pPr>
              <w:pStyle w:val="a4"/>
              <w:numPr>
                <w:ilvl w:val="0"/>
                <w:numId w:val="8"/>
              </w:numPr>
              <w:bidi/>
              <w:spacing w:before="120" w:after="120" w:line="360" w:lineRule="auto"/>
              <w:jc w:val="both"/>
              <w:rPr>
                <w:rFonts w:ascii="David" w:eastAsia="David" w:hAnsi="David" w:cs="David"/>
                <w:color w:val="000000" w:themeColor="text1"/>
                <w:sz w:val="24"/>
                <w:szCs w:val="24"/>
                <w:rtl/>
                <w:lang w:bidi="he-IL"/>
              </w:rPr>
            </w:pPr>
            <w:r>
              <w:rPr>
                <w:rFonts w:ascii="David" w:eastAsia="David" w:hAnsi="David" w:cs="David"/>
                <w:color w:val="000000" w:themeColor="text1"/>
                <w:sz w:val="24"/>
                <w:szCs w:val="24"/>
                <w:rtl/>
                <w:lang w:bidi="he-IL"/>
              </w:rPr>
              <w:t>סוגי</w:t>
            </w:r>
            <w:r>
              <w:rPr>
                <w:rFonts w:ascii="David" w:eastAsia="David" w:hAnsi="David" w:cs="David" w:hint="cs"/>
                <w:color w:val="000000" w:themeColor="text1"/>
                <w:sz w:val="24"/>
                <w:szCs w:val="24"/>
                <w:rtl/>
                <w:lang w:bidi="he-IL"/>
              </w:rPr>
              <w:t>ה זו</w:t>
            </w:r>
            <w:r>
              <w:rPr>
                <w:rFonts w:ascii="David" w:eastAsia="David" w:hAnsi="David" w:cs="David"/>
                <w:color w:val="000000" w:themeColor="text1"/>
                <w:sz w:val="24"/>
                <w:szCs w:val="24"/>
                <w:rtl/>
                <w:lang w:bidi="he-IL"/>
              </w:rPr>
              <w:t xml:space="preserve"> </w:t>
            </w:r>
            <w:r>
              <w:rPr>
                <w:rFonts w:ascii="David" w:eastAsia="David" w:hAnsi="David" w:cs="David" w:hint="cs"/>
                <w:color w:val="000000" w:themeColor="text1"/>
                <w:sz w:val="24"/>
                <w:szCs w:val="24"/>
                <w:rtl/>
                <w:lang w:bidi="he-IL"/>
              </w:rPr>
              <w:t>תבחן</w:t>
            </w:r>
            <w:r w:rsidRPr="003620F4">
              <w:rPr>
                <w:rFonts w:ascii="David" w:eastAsia="David" w:hAnsi="David" w:cs="David"/>
                <w:color w:val="000000" w:themeColor="text1"/>
                <w:sz w:val="24"/>
                <w:szCs w:val="24"/>
                <w:rtl/>
                <w:lang w:bidi="he-IL"/>
              </w:rPr>
              <w:t xml:space="preserve"> לאחר שיוחלט על אופי המנגנון ובהתאם, בין היתר, להתייחסות המציעים לפניה זו.</w:t>
            </w:r>
            <w:r>
              <w:rPr>
                <w:rFonts w:ascii="David" w:eastAsia="David" w:hAnsi="David" w:cs="David" w:hint="cs"/>
                <w:color w:val="000000" w:themeColor="text1"/>
                <w:sz w:val="24"/>
                <w:szCs w:val="24"/>
                <w:rtl/>
                <w:lang w:bidi="he-IL"/>
              </w:rPr>
              <w:t xml:space="preserve"> </w:t>
            </w:r>
          </w:p>
        </w:tc>
        <w:tc>
          <w:tcPr>
            <w:tcW w:w="2278" w:type="pct"/>
            <w:vAlign w:val="center"/>
          </w:tcPr>
          <w:p w14:paraId="5BCAB1A1" w14:textId="77777777" w:rsidR="00BE3D2D" w:rsidRDefault="00BE3D2D" w:rsidP="00BE3D2D">
            <w:pPr>
              <w:pStyle w:val="a4"/>
              <w:numPr>
                <w:ilvl w:val="0"/>
                <w:numId w:val="6"/>
              </w:numPr>
              <w:bidi/>
              <w:spacing w:before="120" w:after="120" w:line="360" w:lineRule="auto"/>
              <w:jc w:val="both"/>
              <w:rPr>
                <w:rFonts w:ascii="David" w:eastAsia="David" w:hAnsi="David" w:cs="David"/>
                <w:color w:val="000000" w:themeColor="text1"/>
                <w:sz w:val="24"/>
                <w:szCs w:val="24"/>
                <w:lang w:bidi="he-IL"/>
              </w:rPr>
            </w:pPr>
            <w:r w:rsidRPr="56101F23">
              <w:rPr>
                <w:rFonts w:ascii="David" w:eastAsia="David" w:hAnsi="David" w:cs="David"/>
                <w:color w:val="000000" w:themeColor="text1"/>
                <w:sz w:val="24"/>
                <w:szCs w:val="24"/>
                <w:rtl/>
                <w:lang w:bidi="he-IL"/>
              </w:rPr>
              <w:t>האם שיווק הקרן וידוע הציבור על קיומה ותנאיה הינם באחריות ומימון המגיש או המזמין?</w:t>
            </w:r>
          </w:p>
          <w:p w14:paraId="0A0D4D40" w14:textId="77777777" w:rsidR="00BE3D2D" w:rsidRPr="004E087B" w:rsidRDefault="00BE3D2D" w:rsidP="00BE3D2D">
            <w:pPr>
              <w:pStyle w:val="a4"/>
              <w:numPr>
                <w:ilvl w:val="0"/>
                <w:numId w:val="6"/>
              </w:numPr>
              <w:bidi/>
              <w:spacing w:before="120" w:after="120" w:line="360" w:lineRule="auto"/>
              <w:jc w:val="both"/>
              <w:rPr>
                <w:rFonts w:ascii="David" w:eastAsia="David" w:hAnsi="David" w:cs="David"/>
                <w:color w:val="000000" w:themeColor="text1"/>
                <w:sz w:val="24"/>
                <w:szCs w:val="24"/>
                <w:rtl/>
                <w:lang w:bidi="he-IL"/>
              </w:rPr>
            </w:pPr>
            <w:r w:rsidRPr="004E087B">
              <w:rPr>
                <w:rFonts w:ascii="David" w:eastAsia="David" w:hAnsi="David" w:cs="David" w:hint="cs"/>
                <w:color w:val="000000" w:themeColor="text1"/>
                <w:sz w:val="24"/>
                <w:szCs w:val="24"/>
                <w:rtl/>
                <w:lang w:bidi="he-IL"/>
              </w:rPr>
              <w:t>כיצד יופנו זכאים להלוואות מהקרן אשר פנו לקבלת הלוואות בבנק וסורבו? האם לבנקים המסרבים תהיה מחויבות להפנות אותם לקרן?</w:t>
            </w:r>
          </w:p>
        </w:tc>
        <w:tc>
          <w:tcPr>
            <w:tcW w:w="446" w:type="pct"/>
            <w:vAlign w:val="center"/>
          </w:tcPr>
          <w:p w14:paraId="3B5948F9" w14:textId="77777777" w:rsidR="00BE3D2D" w:rsidRDefault="00BE3D2D" w:rsidP="00BE3D2D">
            <w:pPr>
              <w:bidi/>
              <w:spacing w:line="360" w:lineRule="auto"/>
              <w:jc w:val="both"/>
              <w:rPr>
                <w:rFonts w:ascii="David" w:eastAsia="David" w:hAnsi="David" w:cs="David"/>
                <w:sz w:val="24"/>
                <w:szCs w:val="24"/>
                <w:rtl/>
                <w:lang w:bidi="he-IL"/>
              </w:rPr>
            </w:pPr>
            <w:r>
              <w:rPr>
                <w:rFonts w:ascii="David" w:eastAsia="David" w:hAnsi="David" w:cs="David" w:hint="cs"/>
                <w:sz w:val="24"/>
                <w:szCs w:val="24"/>
                <w:rtl/>
                <w:lang w:bidi="he-IL"/>
              </w:rPr>
              <w:t>2.5.3.4</w:t>
            </w:r>
          </w:p>
        </w:tc>
      </w:tr>
      <w:tr w:rsidR="00BE3D2D" w14:paraId="01CD3188" w14:textId="77777777" w:rsidTr="00AE1541">
        <w:trPr>
          <w:jc w:val="right"/>
        </w:trPr>
        <w:tc>
          <w:tcPr>
            <w:tcW w:w="2276" w:type="pct"/>
          </w:tcPr>
          <w:p w14:paraId="5CE6CA6B" w14:textId="0289ABFD" w:rsidR="00BE3D2D" w:rsidRDefault="00BE3D2D" w:rsidP="00BE3D2D">
            <w:pPr>
              <w:bidi/>
              <w:spacing w:before="120" w:after="120" w:line="360" w:lineRule="auto"/>
              <w:jc w:val="both"/>
              <w:rPr>
                <w:rFonts w:ascii="David" w:eastAsia="David" w:hAnsi="David" w:cs="David" w:hint="cs"/>
                <w:color w:val="000000" w:themeColor="text1"/>
                <w:sz w:val="24"/>
                <w:szCs w:val="24"/>
                <w:rtl/>
                <w:lang w:bidi="he-IL"/>
              </w:rPr>
            </w:pPr>
            <w:r>
              <w:rPr>
                <w:rFonts w:eastAsia="Calibri" w:cs="David" w:hint="cs"/>
                <w:sz w:val="24"/>
                <w:szCs w:val="24"/>
                <w:rtl/>
              </w:rPr>
              <w:lastRenderedPageBreak/>
              <w:t>הכוונה לכל סוגי הסיכונים האפשריים שעשויים לנבוע להערכתו של המשיב, כתוצאה מתפעול המנגנון.</w:t>
            </w:r>
          </w:p>
        </w:tc>
        <w:tc>
          <w:tcPr>
            <w:tcW w:w="2278" w:type="pct"/>
          </w:tcPr>
          <w:p w14:paraId="1CF04D1B" w14:textId="7697B7D0" w:rsidR="00BE3D2D" w:rsidRPr="3D467637" w:rsidRDefault="00BE3D2D" w:rsidP="00BE3D2D">
            <w:pPr>
              <w:bidi/>
              <w:spacing w:before="120" w:after="120" w:line="360" w:lineRule="auto"/>
              <w:jc w:val="both"/>
              <w:rPr>
                <w:rFonts w:ascii="David" w:eastAsia="David" w:hAnsi="David" w:cs="David"/>
                <w:color w:val="000000" w:themeColor="text1"/>
                <w:sz w:val="24"/>
                <w:szCs w:val="24"/>
                <w:rtl/>
                <w:lang w:bidi="he-IL"/>
              </w:rPr>
            </w:pPr>
            <w:r w:rsidRPr="00801B12">
              <w:rPr>
                <w:rFonts w:eastAsia="Calibri" w:cs="David"/>
                <w:sz w:val="24"/>
                <w:szCs w:val="24"/>
                <w:rtl/>
              </w:rPr>
              <w:t>האם הכוונה לסיכונים תפעוליים / אבטת מידע / כללים</w:t>
            </w:r>
            <w:r>
              <w:rPr>
                <w:rFonts w:eastAsia="Calibri" w:cs="David" w:hint="cs"/>
                <w:sz w:val="24"/>
                <w:szCs w:val="24"/>
                <w:rtl/>
              </w:rPr>
              <w:t xml:space="preserve">? </w:t>
            </w:r>
          </w:p>
        </w:tc>
        <w:tc>
          <w:tcPr>
            <w:tcW w:w="446" w:type="pct"/>
          </w:tcPr>
          <w:p w14:paraId="49CABD4E" w14:textId="35739B87" w:rsidR="00BE3D2D" w:rsidRDefault="00BE3D2D" w:rsidP="00BE3D2D">
            <w:pPr>
              <w:bidi/>
              <w:spacing w:line="360" w:lineRule="auto"/>
              <w:jc w:val="both"/>
              <w:rPr>
                <w:rFonts w:ascii="David" w:eastAsia="David" w:hAnsi="David" w:cs="David" w:hint="cs"/>
                <w:sz w:val="24"/>
                <w:szCs w:val="24"/>
                <w:rtl/>
                <w:lang w:bidi="he-IL"/>
              </w:rPr>
            </w:pPr>
            <w:r w:rsidRPr="00674A27">
              <w:rPr>
                <w:rFonts w:ascii="David" w:eastAsia="Calibri" w:hAnsi="David" w:cs="David"/>
                <w:sz w:val="24"/>
                <w:szCs w:val="24"/>
              </w:rPr>
              <w:t xml:space="preserve">2.6.3 </w:t>
            </w:r>
          </w:p>
        </w:tc>
      </w:tr>
      <w:tr w:rsidR="00BE3D2D" w14:paraId="5964F58A" w14:textId="77777777" w:rsidTr="00BE3D2D">
        <w:trPr>
          <w:jc w:val="right"/>
        </w:trPr>
        <w:tc>
          <w:tcPr>
            <w:tcW w:w="2276" w:type="pct"/>
          </w:tcPr>
          <w:p w14:paraId="26F20043" w14:textId="77777777" w:rsidR="00BE3D2D" w:rsidRPr="3D467637" w:rsidRDefault="00BE3D2D" w:rsidP="00BE3D2D">
            <w:pPr>
              <w:bidi/>
              <w:spacing w:before="120" w:after="120" w:line="360" w:lineRule="auto"/>
              <w:jc w:val="both"/>
              <w:rPr>
                <w:rFonts w:ascii="David" w:eastAsia="David" w:hAnsi="David" w:cs="David"/>
                <w:color w:val="000000" w:themeColor="text1"/>
                <w:sz w:val="24"/>
                <w:szCs w:val="24"/>
                <w:rtl/>
                <w:lang w:bidi="he-IL"/>
              </w:rPr>
            </w:pPr>
            <w:r>
              <w:rPr>
                <w:rFonts w:ascii="David" w:eastAsia="David" w:hAnsi="David" w:cs="David" w:hint="cs"/>
                <w:color w:val="000000" w:themeColor="text1"/>
                <w:sz w:val="24"/>
                <w:szCs w:val="24"/>
                <w:rtl/>
                <w:lang w:bidi="he-IL"/>
              </w:rPr>
              <w:t>המזמין בוחן את האפשרות</w:t>
            </w:r>
            <w:r w:rsidRPr="00E3309D">
              <w:rPr>
                <w:rFonts w:ascii="David" w:eastAsia="David" w:hAnsi="David" w:cs="David"/>
                <w:color w:val="000000" w:themeColor="text1"/>
                <w:sz w:val="24"/>
                <w:szCs w:val="24"/>
                <w:rtl/>
                <w:lang w:bidi="he-IL"/>
              </w:rPr>
              <w:t xml:space="preserve"> שהזוכים </w:t>
            </w:r>
            <w:r>
              <w:rPr>
                <w:rFonts w:ascii="David" w:eastAsia="David" w:hAnsi="David" w:cs="David" w:hint="cs"/>
                <w:color w:val="000000" w:themeColor="text1"/>
                <w:sz w:val="24"/>
                <w:szCs w:val="24"/>
                <w:rtl/>
                <w:lang w:bidi="he-IL"/>
              </w:rPr>
              <w:t xml:space="preserve">במכרז </w:t>
            </w:r>
            <w:r w:rsidRPr="00E3309D">
              <w:rPr>
                <w:rFonts w:ascii="David" w:eastAsia="David" w:hAnsi="David" w:cs="David"/>
                <w:color w:val="000000" w:themeColor="text1"/>
                <w:sz w:val="24"/>
                <w:szCs w:val="24"/>
                <w:rtl/>
                <w:lang w:bidi="he-IL"/>
              </w:rPr>
              <w:t xml:space="preserve">יעמידו ליווי פיננסי </w:t>
            </w:r>
            <w:r>
              <w:rPr>
                <w:rFonts w:ascii="David" w:eastAsia="David" w:hAnsi="David" w:cs="David" w:hint="cs"/>
                <w:color w:val="000000" w:themeColor="text1"/>
                <w:sz w:val="24"/>
                <w:szCs w:val="24"/>
                <w:rtl/>
                <w:lang w:bidi="he-IL"/>
              </w:rPr>
              <w:t xml:space="preserve">לכל </w:t>
            </w:r>
            <w:r w:rsidRPr="00E3309D">
              <w:rPr>
                <w:rFonts w:ascii="David" w:eastAsia="David" w:hAnsi="David" w:cs="David"/>
                <w:color w:val="000000" w:themeColor="text1"/>
                <w:sz w:val="24"/>
                <w:szCs w:val="24"/>
                <w:rtl/>
                <w:lang w:bidi="he-IL"/>
              </w:rPr>
              <w:t>הפונים לקבלת הלוואה.</w:t>
            </w:r>
            <w:r>
              <w:rPr>
                <w:rtl/>
                <w:lang w:bidi="he-IL"/>
              </w:rPr>
              <w:t xml:space="preserve"> </w:t>
            </w:r>
            <w:r>
              <w:rPr>
                <w:rFonts w:ascii="David" w:eastAsia="David" w:hAnsi="David" w:cs="David" w:hint="cs"/>
                <w:color w:val="000000" w:themeColor="text1"/>
                <w:sz w:val="24"/>
                <w:szCs w:val="24"/>
                <w:rtl/>
                <w:lang w:bidi="he-IL"/>
              </w:rPr>
              <w:t>הדרישה המדויקת תיקבע לאחר</w:t>
            </w:r>
            <w:r w:rsidRPr="00E3309D">
              <w:rPr>
                <w:rFonts w:ascii="David" w:eastAsia="David" w:hAnsi="David" w:cs="David"/>
                <w:color w:val="000000" w:themeColor="text1"/>
                <w:sz w:val="24"/>
                <w:szCs w:val="24"/>
                <w:rtl/>
                <w:lang w:bidi="he-IL"/>
              </w:rPr>
              <w:t xml:space="preserve"> </w:t>
            </w:r>
            <w:r>
              <w:rPr>
                <w:rFonts w:ascii="David" w:eastAsia="David" w:hAnsi="David" w:cs="David"/>
                <w:color w:val="000000" w:themeColor="text1"/>
                <w:sz w:val="24"/>
                <w:szCs w:val="24"/>
                <w:rtl/>
                <w:lang w:bidi="he-IL"/>
              </w:rPr>
              <w:t>קבלת התייחסות המ</w:t>
            </w:r>
            <w:r>
              <w:rPr>
                <w:rFonts w:ascii="David" w:eastAsia="David" w:hAnsi="David" w:cs="David" w:hint="cs"/>
                <w:color w:val="000000" w:themeColor="text1"/>
                <w:sz w:val="24"/>
                <w:szCs w:val="24"/>
                <w:rtl/>
                <w:lang w:bidi="he-IL"/>
              </w:rPr>
              <w:t>שיבים</w:t>
            </w:r>
            <w:r w:rsidRPr="003620F4">
              <w:rPr>
                <w:rFonts w:ascii="David" w:eastAsia="David" w:hAnsi="David" w:cs="David"/>
                <w:color w:val="000000" w:themeColor="text1"/>
                <w:sz w:val="24"/>
                <w:szCs w:val="24"/>
                <w:rtl/>
                <w:lang w:bidi="he-IL"/>
              </w:rPr>
              <w:t xml:space="preserve"> לפניה זו</w:t>
            </w:r>
            <w:r w:rsidRPr="00E3309D">
              <w:rPr>
                <w:rFonts w:ascii="David" w:eastAsia="David" w:hAnsi="David" w:cs="David"/>
                <w:color w:val="000000" w:themeColor="text1"/>
                <w:sz w:val="24"/>
                <w:szCs w:val="24"/>
                <w:rtl/>
                <w:lang w:bidi="he-IL"/>
              </w:rPr>
              <w:t>.</w:t>
            </w:r>
          </w:p>
        </w:tc>
        <w:tc>
          <w:tcPr>
            <w:tcW w:w="2278" w:type="pct"/>
            <w:vAlign w:val="center"/>
          </w:tcPr>
          <w:p w14:paraId="2D00CC81" w14:textId="77777777" w:rsidR="00BE3D2D" w:rsidRPr="000152C3" w:rsidRDefault="00BE3D2D" w:rsidP="00BE3D2D">
            <w:pPr>
              <w:bidi/>
              <w:spacing w:before="120" w:after="120" w:line="360" w:lineRule="auto"/>
              <w:jc w:val="both"/>
              <w:rPr>
                <w:rFonts w:ascii="David" w:eastAsia="David" w:hAnsi="David" w:cs="David"/>
                <w:color w:val="000000" w:themeColor="text1"/>
                <w:sz w:val="24"/>
                <w:szCs w:val="24"/>
                <w:lang w:bidi="he-IL"/>
              </w:rPr>
            </w:pPr>
            <w:r w:rsidRPr="3D467637">
              <w:rPr>
                <w:rFonts w:ascii="David" w:eastAsia="David" w:hAnsi="David" w:cs="David"/>
                <w:color w:val="000000" w:themeColor="text1"/>
                <w:sz w:val="24"/>
                <w:szCs w:val="24"/>
                <w:rtl/>
                <w:lang w:bidi="he-IL"/>
              </w:rPr>
              <w:t xml:space="preserve">האם יש כוונה שכל מקבל הלוואה יקבל גם ליווי פיננסי? </w:t>
            </w:r>
            <w:r>
              <w:rPr>
                <w:rFonts w:ascii="David" w:eastAsia="David" w:hAnsi="David" w:cs="David" w:hint="cs"/>
                <w:color w:val="000000" w:themeColor="text1"/>
                <w:sz w:val="24"/>
                <w:szCs w:val="24"/>
                <w:rtl/>
                <w:lang w:bidi="he-IL"/>
              </w:rPr>
              <w:t>אם התשובה שלילית, מהו אחוז מקבלי ההלוואות שידרשו לליווי פיננסי?</w:t>
            </w:r>
          </w:p>
        </w:tc>
        <w:tc>
          <w:tcPr>
            <w:tcW w:w="446" w:type="pct"/>
            <w:vAlign w:val="center"/>
          </w:tcPr>
          <w:p w14:paraId="12B23341" w14:textId="77777777" w:rsidR="00BE3D2D" w:rsidRDefault="00BE3D2D" w:rsidP="00BE3D2D">
            <w:pPr>
              <w:bidi/>
              <w:spacing w:line="360" w:lineRule="auto"/>
              <w:jc w:val="both"/>
              <w:rPr>
                <w:rFonts w:ascii="David" w:eastAsia="David" w:hAnsi="David" w:cs="David"/>
                <w:sz w:val="24"/>
                <w:szCs w:val="24"/>
                <w:lang w:bidi="he-IL"/>
              </w:rPr>
            </w:pPr>
            <w:r>
              <w:rPr>
                <w:rFonts w:ascii="David" w:eastAsia="David" w:hAnsi="David" w:cs="David" w:hint="cs"/>
                <w:sz w:val="24"/>
                <w:szCs w:val="24"/>
                <w:rtl/>
                <w:lang w:bidi="he-IL"/>
              </w:rPr>
              <w:t>2.7.1</w:t>
            </w:r>
          </w:p>
        </w:tc>
      </w:tr>
      <w:tr w:rsidR="00BE3D2D" w14:paraId="10978015" w14:textId="77777777" w:rsidTr="00BE3D2D">
        <w:trPr>
          <w:jc w:val="right"/>
        </w:trPr>
        <w:tc>
          <w:tcPr>
            <w:tcW w:w="2276" w:type="pct"/>
          </w:tcPr>
          <w:p w14:paraId="112CA06D" w14:textId="77777777" w:rsidR="00BE3D2D" w:rsidRPr="3D467637" w:rsidRDefault="00BE3D2D" w:rsidP="00BE3D2D">
            <w:pPr>
              <w:bidi/>
              <w:spacing w:before="120" w:after="120" w:line="360" w:lineRule="auto"/>
              <w:jc w:val="both"/>
              <w:rPr>
                <w:rFonts w:ascii="David" w:eastAsia="David" w:hAnsi="David" w:cs="David"/>
                <w:color w:val="000000" w:themeColor="text1"/>
                <w:sz w:val="24"/>
                <w:szCs w:val="24"/>
                <w:rtl/>
                <w:lang w:bidi="he-IL"/>
              </w:rPr>
            </w:pPr>
            <w:r>
              <w:rPr>
                <w:rFonts w:ascii="David" w:eastAsia="David" w:hAnsi="David" w:cs="David"/>
                <w:color w:val="000000" w:themeColor="text1"/>
                <w:sz w:val="24"/>
                <w:szCs w:val="24"/>
                <w:rtl/>
                <w:lang w:bidi="he-IL"/>
              </w:rPr>
              <w:t>סוג</w:t>
            </w:r>
            <w:r>
              <w:rPr>
                <w:rFonts w:ascii="David" w:eastAsia="David" w:hAnsi="David" w:cs="David" w:hint="cs"/>
                <w:color w:val="000000" w:themeColor="text1"/>
                <w:sz w:val="24"/>
                <w:szCs w:val="24"/>
                <w:rtl/>
                <w:lang w:bidi="he-IL"/>
              </w:rPr>
              <w:t>יה זו</w:t>
            </w:r>
            <w:r>
              <w:rPr>
                <w:rFonts w:ascii="David" w:eastAsia="David" w:hAnsi="David" w:cs="David"/>
                <w:color w:val="000000" w:themeColor="text1"/>
                <w:sz w:val="24"/>
                <w:szCs w:val="24"/>
                <w:rtl/>
                <w:lang w:bidi="he-IL"/>
              </w:rPr>
              <w:t xml:space="preserve"> </w:t>
            </w:r>
            <w:r>
              <w:rPr>
                <w:rFonts w:ascii="David" w:eastAsia="David" w:hAnsi="David" w:cs="David" w:hint="cs"/>
                <w:color w:val="000000" w:themeColor="text1"/>
                <w:sz w:val="24"/>
                <w:szCs w:val="24"/>
                <w:rtl/>
                <w:lang w:bidi="he-IL"/>
              </w:rPr>
              <w:t>תבחן</w:t>
            </w:r>
            <w:r w:rsidRPr="00E3309D">
              <w:rPr>
                <w:rFonts w:ascii="David" w:eastAsia="David" w:hAnsi="David" w:cs="David"/>
                <w:color w:val="000000" w:themeColor="text1"/>
                <w:sz w:val="24"/>
                <w:szCs w:val="24"/>
                <w:rtl/>
                <w:lang w:bidi="he-IL"/>
              </w:rPr>
              <w:t xml:space="preserve"> לאחר שיוחלט על אופי המנגנון ובהתאם, בין היתר, להתייחסות המציעים לפניה זו.</w:t>
            </w:r>
          </w:p>
        </w:tc>
        <w:tc>
          <w:tcPr>
            <w:tcW w:w="2278" w:type="pct"/>
            <w:vAlign w:val="center"/>
          </w:tcPr>
          <w:p w14:paraId="781341A6" w14:textId="77777777" w:rsidR="00BE3D2D" w:rsidRPr="000152C3" w:rsidRDefault="00BE3D2D" w:rsidP="00BE3D2D">
            <w:pPr>
              <w:bidi/>
              <w:spacing w:before="120" w:after="120" w:line="360" w:lineRule="auto"/>
              <w:jc w:val="both"/>
              <w:rPr>
                <w:rFonts w:ascii="David" w:eastAsia="David" w:hAnsi="David" w:cs="David"/>
                <w:color w:val="000000" w:themeColor="text1"/>
                <w:sz w:val="24"/>
                <w:szCs w:val="24"/>
                <w:lang w:bidi="he-IL"/>
              </w:rPr>
            </w:pPr>
            <w:r w:rsidRPr="3D467637">
              <w:rPr>
                <w:rFonts w:ascii="David" w:eastAsia="David" w:hAnsi="David" w:cs="David"/>
                <w:color w:val="000000" w:themeColor="text1"/>
                <w:sz w:val="24"/>
                <w:szCs w:val="24"/>
                <w:rtl/>
                <w:lang w:bidi="he-IL"/>
              </w:rPr>
              <w:t>האם ישנה דרישת מינימום למספר ומשך פגישות ליווי לכל הלוואה וכן לתקופת הליווי?</w:t>
            </w:r>
          </w:p>
        </w:tc>
        <w:tc>
          <w:tcPr>
            <w:tcW w:w="446" w:type="pct"/>
            <w:vAlign w:val="center"/>
          </w:tcPr>
          <w:p w14:paraId="15CA6529" w14:textId="77777777" w:rsidR="00BE3D2D" w:rsidRDefault="00BE3D2D" w:rsidP="00BE3D2D">
            <w:pPr>
              <w:bidi/>
              <w:spacing w:line="360" w:lineRule="auto"/>
              <w:jc w:val="both"/>
              <w:rPr>
                <w:rFonts w:ascii="David" w:eastAsia="David" w:hAnsi="David" w:cs="David"/>
                <w:sz w:val="24"/>
                <w:szCs w:val="24"/>
                <w:lang w:bidi="he-IL"/>
              </w:rPr>
            </w:pPr>
            <w:r>
              <w:rPr>
                <w:rFonts w:ascii="David" w:eastAsia="David" w:hAnsi="David" w:cs="David" w:hint="cs"/>
                <w:sz w:val="24"/>
                <w:szCs w:val="24"/>
                <w:rtl/>
                <w:lang w:bidi="he-IL"/>
              </w:rPr>
              <w:t>2.7.3</w:t>
            </w:r>
          </w:p>
        </w:tc>
      </w:tr>
      <w:tr w:rsidR="00BE3D2D" w14:paraId="31C85C81" w14:textId="77777777" w:rsidTr="00BE3D2D">
        <w:trPr>
          <w:jc w:val="right"/>
        </w:trPr>
        <w:tc>
          <w:tcPr>
            <w:tcW w:w="2276" w:type="pct"/>
          </w:tcPr>
          <w:p w14:paraId="1F196339" w14:textId="77777777" w:rsidR="00BE3D2D" w:rsidRPr="56101F23" w:rsidRDefault="00BE3D2D" w:rsidP="00BE3D2D">
            <w:pPr>
              <w:bidi/>
              <w:spacing w:before="120" w:after="120" w:line="360" w:lineRule="auto"/>
              <w:jc w:val="both"/>
              <w:rPr>
                <w:rFonts w:ascii="David" w:eastAsia="David" w:hAnsi="David" w:cs="David"/>
                <w:color w:val="000000" w:themeColor="text1"/>
                <w:sz w:val="24"/>
                <w:szCs w:val="24"/>
                <w:rtl/>
                <w:lang w:bidi="he-IL"/>
              </w:rPr>
            </w:pPr>
            <w:r>
              <w:rPr>
                <w:rFonts w:ascii="David" w:eastAsia="David" w:hAnsi="David" w:cs="David"/>
                <w:color w:val="000000" w:themeColor="text1"/>
                <w:sz w:val="24"/>
                <w:szCs w:val="24"/>
                <w:rtl/>
                <w:lang w:bidi="he-IL"/>
              </w:rPr>
              <w:t>סוג</w:t>
            </w:r>
            <w:r>
              <w:rPr>
                <w:rFonts w:ascii="David" w:eastAsia="David" w:hAnsi="David" w:cs="David" w:hint="cs"/>
                <w:color w:val="000000" w:themeColor="text1"/>
                <w:sz w:val="24"/>
                <w:szCs w:val="24"/>
                <w:rtl/>
                <w:lang w:bidi="he-IL"/>
              </w:rPr>
              <w:t>יה זו</w:t>
            </w:r>
            <w:r>
              <w:rPr>
                <w:rFonts w:ascii="David" w:eastAsia="David" w:hAnsi="David" w:cs="David"/>
                <w:color w:val="000000" w:themeColor="text1"/>
                <w:sz w:val="24"/>
                <w:szCs w:val="24"/>
                <w:rtl/>
                <w:lang w:bidi="he-IL"/>
              </w:rPr>
              <w:t xml:space="preserve"> </w:t>
            </w:r>
            <w:r>
              <w:rPr>
                <w:rFonts w:ascii="David" w:eastAsia="David" w:hAnsi="David" w:cs="David" w:hint="cs"/>
                <w:color w:val="000000" w:themeColor="text1"/>
                <w:sz w:val="24"/>
                <w:szCs w:val="24"/>
                <w:rtl/>
                <w:lang w:bidi="he-IL"/>
              </w:rPr>
              <w:t>תבחן</w:t>
            </w:r>
            <w:r w:rsidRPr="00E3309D">
              <w:rPr>
                <w:rFonts w:ascii="David" w:eastAsia="David" w:hAnsi="David" w:cs="David"/>
                <w:color w:val="000000" w:themeColor="text1"/>
                <w:sz w:val="24"/>
                <w:szCs w:val="24"/>
                <w:rtl/>
                <w:lang w:bidi="he-IL"/>
              </w:rPr>
              <w:t xml:space="preserve"> לאחר</w:t>
            </w:r>
            <w:r>
              <w:rPr>
                <w:rFonts w:ascii="David" w:eastAsia="David" w:hAnsi="David" w:cs="David" w:hint="cs"/>
                <w:color w:val="000000" w:themeColor="text1"/>
                <w:sz w:val="24"/>
                <w:szCs w:val="24"/>
                <w:rtl/>
                <w:lang w:bidi="he-IL"/>
              </w:rPr>
              <w:t xml:space="preserve"> בחינה נוספת של הנתונים ובהתאם, בין היתר, להתייחסות המציעים לסעיף 2.7 לפניה זו.</w:t>
            </w:r>
          </w:p>
        </w:tc>
        <w:tc>
          <w:tcPr>
            <w:tcW w:w="2278" w:type="pct"/>
            <w:vAlign w:val="center"/>
          </w:tcPr>
          <w:p w14:paraId="2C004106" w14:textId="77777777" w:rsidR="00BE3D2D" w:rsidRPr="000152C3" w:rsidRDefault="00BE3D2D" w:rsidP="00BE3D2D">
            <w:pPr>
              <w:bidi/>
              <w:spacing w:before="120" w:after="120" w:line="360" w:lineRule="auto"/>
              <w:jc w:val="both"/>
              <w:rPr>
                <w:rFonts w:ascii="David" w:eastAsia="David" w:hAnsi="David" w:cs="David"/>
                <w:color w:val="000000" w:themeColor="text1"/>
                <w:sz w:val="24"/>
                <w:szCs w:val="24"/>
                <w:lang w:bidi="he-IL"/>
              </w:rPr>
            </w:pPr>
            <w:r w:rsidRPr="56101F23">
              <w:rPr>
                <w:rFonts w:ascii="David" w:eastAsia="David" w:hAnsi="David" w:cs="David"/>
                <w:color w:val="000000" w:themeColor="text1"/>
                <w:sz w:val="24"/>
                <w:szCs w:val="24"/>
                <w:rtl/>
                <w:lang w:bidi="he-IL"/>
              </w:rPr>
              <w:t xml:space="preserve">בעלי דירוג אשראי נמוך מתאפיינים בבעיות קשות בניהול פיננסי, לפיכך אנו מאמינים כי יש לשאוף להעניק ללווים ליווי פיננסי בצמוד למתן ההלוואה. יחד עם זאת, ליווי פיננסי הינו מצרך יקר שעלותו נאמדת בכ - </w:t>
            </w:r>
            <w:r w:rsidRPr="56101F23">
              <w:rPr>
                <w:rFonts w:ascii="David" w:eastAsia="David" w:hAnsi="David" w:cs="David"/>
                <w:color w:val="000000" w:themeColor="text1"/>
                <w:sz w:val="24"/>
                <w:szCs w:val="24"/>
                <w:lang w:bidi="he-IL"/>
              </w:rPr>
              <w:t>4,000-</w:t>
            </w:r>
            <w:r>
              <w:rPr>
                <w:rFonts w:ascii="David" w:eastAsia="David" w:hAnsi="David" w:cs="David"/>
                <w:color w:val="000000" w:themeColor="text1"/>
                <w:sz w:val="24"/>
                <w:szCs w:val="24"/>
                <w:lang w:bidi="he-IL"/>
              </w:rPr>
              <w:t>7</w:t>
            </w:r>
            <w:r w:rsidRPr="56101F23">
              <w:rPr>
                <w:rFonts w:ascii="David" w:eastAsia="David" w:hAnsi="David" w:cs="David"/>
                <w:color w:val="000000" w:themeColor="text1"/>
                <w:sz w:val="24"/>
                <w:szCs w:val="24"/>
                <w:lang w:bidi="he-IL"/>
              </w:rPr>
              <w:t>,000</w:t>
            </w:r>
            <w:r w:rsidRPr="56101F23">
              <w:rPr>
                <w:rFonts w:ascii="David" w:eastAsia="David" w:hAnsi="David" w:cs="David"/>
                <w:color w:val="000000" w:themeColor="text1"/>
                <w:sz w:val="24"/>
                <w:szCs w:val="24"/>
                <w:rtl/>
                <w:lang w:bidi="he-IL"/>
              </w:rPr>
              <w:t xml:space="preserve"> ש"ח למשק בית בליווי (כחמש עד עשר פגישות)</w:t>
            </w:r>
            <w:r>
              <w:rPr>
                <w:rFonts w:ascii="David" w:eastAsia="David" w:hAnsi="David" w:cs="David" w:hint="cs"/>
                <w:color w:val="000000" w:themeColor="text1"/>
                <w:sz w:val="24"/>
                <w:szCs w:val="24"/>
                <w:rtl/>
                <w:lang w:bidi="he-IL"/>
              </w:rPr>
              <w:t xml:space="preserve"> ולכן יש לממנו בנפרד</w:t>
            </w:r>
            <w:r w:rsidRPr="56101F23">
              <w:rPr>
                <w:rFonts w:ascii="David" w:eastAsia="David" w:hAnsi="David" w:cs="David"/>
                <w:color w:val="000000" w:themeColor="text1"/>
                <w:sz w:val="24"/>
                <w:szCs w:val="24"/>
                <w:rtl/>
                <w:lang w:bidi="he-IL"/>
              </w:rPr>
              <w:t>. האם ה-</w:t>
            </w:r>
            <w:r w:rsidRPr="56101F23">
              <w:rPr>
                <w:rFonts w:ascii="David" w:eastAsia="David" w:hAnsi="David" w:cs="David"/>
                <w:color w:val="000000" w:themeColor="text1"/>
                <w:sz w:val="24"/>
                <w:szCs w:val="24"/>
                <w:lang w:bidi="he-IL"/>
              </w:rPr>
              <w:t>50</w:t>
            </w:r>
            <w:r w:rsidRPr="56101F23">
              <w:rPr>
                <w:rFonts w:ascii="David" w:eastAsia="David" w:hAnsi="David" w:cs="David"/>
                <w:color w:val="000000" w:themeColor="text1"/>
                <w:sz w:val="24"/>
                <w:szCs w:val="24"/>
                <w:rtl/>
                <w:lang w:bidi="he-IL"/>
              </w:rPr>
              <w:t xml:space="preserve"> מיליון ש"ח המוקצים צריכים לכלול גם את רכיב עלות הליווי, למרות שהעלויות הגבוהות הנגזרות יפחיתו בצורה משמעותית את קרן ההלוואות עצמה?</w:t>
            </w:r>
            <w:r>
              <w:rPr>
                <w:rFonts w:ascii="David" w:eastAsia="David" w:hAnsi="David" w:cs="David" w:hint="cs"/>
                <w:color w:val="000000" w:themeColor="text1"/>
                <w:sz w:val="24"/>
                <w:szCs w:val="24"/>
                <w:rtl/>
                <w:lang w:bidi="he-IL"/>
              </w:rPr>
              <w:t xml:space="preserve"> אם התשובה חיובית, מה מספר משקי הבית שיש לקחת בחשבון עבור הליווי? </w:t>
            </w:r>
          </w:p>
        </w:tc>
        <w:tc>
          <w:tcPr>
            <w:tcW w:w="446" w:type="pct"/>
            <w:vAlign w:val="center"/>
          </w:tcPr>
          <w:p w14:paraId="20CB4951" w14:textId="77777777" w:rsidR="00BE3D2D" w:rsidRDefault="00BE3D2D" w:rsidP="00BE3D2D">
            <w:pPr>
              <w:bidi/>
              <w:spacing w:line="360" w:lineRule="auto"/>
              <w:jc w:val="both"/>
              <w:rPr>
                <w:rFonts w:ascii="David" w:eastAsia="David" w:hAnsi="David" w:cs="David"/>
                <w:sz w:val="24"/>
                <w:szCs w:val="24"/>
                <w:lang w:bidi="he-IL"/>
              </w:rPr>
            </w:pPr>
            <w:r>
              <w:rPr>
                <w:rFonts w:ascii="David" w:eastAsia="David" w:hAnsi="David" w:cs="David" w:hint="cs"/>
                <w:sz w:val="24"/>
                <w:szCs w:val="24"/>
                <w:rtl/>
                <w:lang w:bidi="he-IL"/>
              </w:rPr>
              <w:t>2.7.4</w:t>
            </w:r>
          </w:p>
        </w:tc>
      </w:tr>
      <w:tr w:rsidR="00BE3D2D" w14:paraId="1293D0BF" w14:textId="77777777" w:rsidTr="00BE3D2D">
        <w:trPr>
          <w:jc w:val="right"/>
        </w:trPr>
        <w:tc>
          <w:tcPr>
            <w:tcW w:w="2276" w:type="pct"/>
          </w:tcPr>
          <w:p w14:paraId="010B51FB" w14:textId="77777777" w:rsidR="00BE3D2D" w:rsidRDefault="00BE3D2D" w:rsidP="00BE3D2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bidi/>
              <w:spacing w:before="120" w:after="120" w:line="360" w:lineRule="auto"/>
              <w:jc w:val="both"/>
              <w:rPr>
                <w:rFonts w:cs="David"/>
                <w:szCs w:val="24"/>
                <w:rtl/>
              </w:rPr>
            </w:pPr>
            <w:r>
              <w:rPr>
                <w:rFonts w:cs="David" w:hint="cs"/>
                <w:szCs w:val="24"/>
                <w:rtl/>
              </w:rPr>
              <w:t xml:space="preserve">עידכון לנוסח - </w:t>
            </w:r>
            <w:r w:rsidRPr="001C3466">
              <w:rPr>
                <w:rFonts w:cs="David" w:hint="eastAsia"/>
                <w:szCs w:val="24"/>
                <w:rtl/>
              </w:rPr>
              <w:t xml:space="preserve"> </w:t>
            </w:r>
          </w:p>
          <w:p w14:paraId="2A54CA79" w14:textId="77777777" w:rsidR="00BE3D2D" w:rsidRDefault="00BE3D2D" w:rsidP="00BE3D2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bidi/>
              <w:spacing w:before="120" w:after="120" w:line="360" w:lineRule="auto"/>
              <w:jc w:val="both"/>
              <w:rPr>
                <w:rFonts w:cs="David"/>
                <w:szCs w:val="24"/>
                <w:rtl/>
              </w:rPr>
            </w:pPr>
            <w:r>
              <w:rPr>
                <w:rFonts w:cs="David" w:hint="cs"/>
                <w:szCs w:val="24"/>
                <w:rtl/>
              </w:rPr>
              <w:t xml:space="preserve">במקום - </w:t>
            </w:r>
            <w:r w:rsidRPr="001C3466">
              <w:rPr>
                <w:rFonts w:cs="David" w:hint="eastAsia"/>
                <w:szCs w:val="24"/>
                <w:rtl/>
              </w:rPr>
              <w:t>המלצות</w:t>
            </w:r>
            <w:r w:rsidRPr="001C3466">
              <w:rPr>
                <w:rFonts w:cs="David"/>
                <w:szCs w:val="24"/>
                <w:rtl/>
              </w:rPr>
              <w:t xml:space="preserve"> </w:t>
            </w:r>
            <w:r w:rsidRPr="001C3466">
              <w:rPr>
                <w:rFonts w:cs="David" w:hint="eastAsia"/>
                <w:szCs w:val="24"/>
                <w:rtl/>
              </w:rPr>
              <w:t>אודות</w:t>
            </w:r>
            <w:r w:rsidRPr="001C3466">
              <w:rPr>
                <w:rFonts w:cs="David"/>
                <w:szCs w:val="24"/>
                <w:rtl/>
              </w:rPr>
              <w:t xml:space="preserve"> </w:t>
            </w:r>
            <w:r w:rsidRPr="001C3466">
              <w:rPr>
                <w:rFonts w:cs="David" w:hint="eastAsia"/>
                <w:szCs w:val="24"/>
                <w:rtl/>
              </w:rPr>
              <w:t>תפעולו</w:t>
            </w:r>
            <w:r w:rsidRPr="001C3466">
              <w:rPr>
                <w:rFonts w:cs="David"/>
                <w:szCs w:val="24"/>
                <w:rtl/>
              </w:rPr>
              <w:t xml:space="preserve"> </w:t>
            </w:r>
            <w:r w:rsidRPr="001C3466">
              <w:rPr>
                <w:rFonts w:cs="David" w:hint="eastAsia"/>
                <w:szCs w:val="24"/>
                <w:rtl/>
              </w:rPr>
              <w:t>של</w:t>
            </w:r>
            <w:r w:rsidRPr="001C3466">
              <w:rPr>
                <w:rFonts w:cs="David"/>
                <w:szCs w:val="24"/>
                <w:rtl/>
              </w:rPr>
              <w:t xml:space="preserve"> </w:t>
            </w:r>
            <w:r w:rsidRPr="001C3466">
              <w:rPr>
                <w:rFonts w:cs="David" w:hint="eastAsia"/>
                <w:szCs w:val="24"/>
                <w:rtl/>
              </w:rPr>
              <w:t>המנגנון</w:t>
            </w:r>
            <w:r w:rsidRPr="001C3466">
              <w:rPr>
                <w:rFonts w:cs="David"/>
                <w:szCs w:val="24"/>
                <w:rtl/>
              </w:rPr>
              <w:t xml:space="preserve"> </w:t>
            </w:r>
            <w:r w:rsidRPr="001C3466">
              <w:rPr>
                <w:rFonts w:cs="David" w:hint="eastAsia"/>
                <w:szCs w:val="24"/>
                <w:rtl/>
              </w:rPr>
              <w:t>באופן</w:t>
            </w:r>
            <w:r w:rsidRPr="001C3466">
              <w:rPr>
                <w:rFonts w:cs="David"/>
                <w:szCs w:val="24"/>
                <w:rtl/>
              </w:rPr>
              <w:t xml:space="preserve"> </w:t>
            </w:r>
            <w:r w:rsidRPr="001C3466">
              <w:rPr>
                <w:rFonts w:cs="David" w:hint="eastAsia"/>
                <w:szCs w:val="24"/>
                <w:rtl/>
              </w:rPr>
              <w:t>שיבטיח</w:t>
            </w:r>
            <w:r w:rsidRPr="001C3466">
              <w:rPr>
                <w:rFonts w:cs="David"/>
                <w:szCs w:val="24"/>
                <w:rtl/>
              </w:rPr>
              <w:t xml:space="preserve"> </w:t>
            </w:r>
            <w:r w:rsidRPr="001C3466">
              <w:rPr>
                <w:rFonts w:cs="David" w:hint="eastAsia"/>
                <w:szCs w:val="24"/>
                <w:rtl/>
              </w:rPr>
              <w:t>את</w:t>
            </w:r>
            <w:r w:rsidRPr="001C3466">
              <w:rPr>
                <w:rFonts w:cs="David"/>
                <w:szCs w:val="24"/>
                <w:rtl/>
              </w:rPr>
              <w:t xml:space="preserve"> </w:t>
            </w:r>
            <w:r w:rsidRPr="001C3466">
              <w:rPr>
                <w:rFonts w:cs="David" w:hint="eastAsia"/>
                <w:szCs w:val="24"/>
                <w:rtl/>
              </w:rPr>
              <w:t>שיפור</w:t>
            </w:r>
            <w:r w:rsidRPr="001C3466">
              <w:rPr>
                <w:rFonts w:cs="David"/>
                <w:szCs w:val="24"/>
                <w:rtl/>
              </w:rPr>
              <w:t xml:space="preserve"> </w:t>
            </w:r>
            <w:r w:rsidRPr="001C3466">
              <w:rPr>
                <w:rFonts w:cs="David" w:hint="eastAsia"/>
                <w:szCs w:val="24"/>
                <w:rtl/>
              </w:rPr>
              <w:t>דירוג</w:t>
            </w:r>
            <w:r w:rsidRPr="001C3466">
              <w:rPr>
                <w:rFonts w:cs="David"/>
                <w:szCs w:val="24"/>
                <w:rtl/>
              </w:rPr>
              <w:t xml:space="preserve"> </w:t>
            </w:r>
            <w:r w:rsidRPr="001C3466">
              <w:rPr>
                <w:rFonts w:cs="David" w:hint="eastAsia"/>
                <w:szCs w:val="24"/>
                <w:rtl/>
              </w:rPr>
              <w:t>האשראי</w:t>
            </w:r>
            <w:r w:rsidRPr="001C3466">
              <w:rPr>
                <w:rFonts w:cs="David"/>
                <w:szCs w:val="24"/>
                <w:rtl/>
              </w:rPr>
              <w:t xml:space="preserve"> </w:t>
            </w:r>
            <w:r w:rsidRPr="001C3466">
              <w:rPr>
                <w:rFonts w:cs="David" w:hint="eastAsia"/>
                <w:szCs w:val="24"/>
                <w:rtl/>
              </w:rPr>
              <w:t>של</w:t>
            </w:r>
            <w:r w:rsidRPr="001C3466">
              <w:rPr>
                <w:rFonts w:cs="David"/>
                <w:szCs w:val="24"/>
                <w:rtl/>
              </w:rPr>
              <w:t xml:space="preserve"> </w:t>
            </w:r>
            <w:r w:rsidRPr="001C3466">
              <w:rPr>
                <w:rFonts w:cs="David" w:hint="eastAsia"/>
                <w:szCs w:val="24"/>
                <w:rtl/>
              </w:rPr>
              <w:t>לווים</w:t>
            </w:r>
            <w:r w:rsidRPr="001C3466">
              <w:rPr>
                <w:rFonts w:cs="David"/>
                <w:szCs w:val="24"/>
                <w:rtl/>
              </w:rPr>
              <w:t xml:space="preserve"> </w:t>
            </w:r>
            <w:r w:rsidRPr="001C3466">
              <w:rPr>
                <w:rFonts w:cs="David" w:hint="eastAsia"/>
                <w:szCs w:val="24"/>
                <w:rtl/>
              </w:rPr>
              <w:t>אשר</w:t>
            </w:r>
            <w:r w:rsidRPr="001C3466">
              <w:rPr>
                <w:rFonts w:cs="David"/>
                <w:szCs w:val="24"/>
                <w:rtl/>
              </w:rPr>
              <w:t xml:space="preserve"> </w:t>
            </w:r>
            <w:r w:rsidRPr="001C3466">
              <w:rPr>
                <w:rFonts w:cs="David" w:hint="eastAsia"/>
                <w:szCs w:val="24"/>
                <w:rtl/>
              </w:rPr>
              <w:t>מתקשים</w:t>
            </w:r>
            <w:r w:rsidRPr="001C3466">
              <w:rPr>
                <w:rFonts w:cs="David"/>
                <w:szCs w:val="24"/>
                <w:rtl/>
              </w:rPr>
              <w:t xml:space="preserve"> </w:t>
            </w:r>
            <w:r w:rsidRPr="001C3466">
              <w:rPr>
                <w:rFonts w:cs="David" w:hint="eastAsia"/>
                <w:szCs w:val="24"/>
                <w:rtl/>
              </w:rPr>
              <w:t>לקבל</w:t>
            </w:r>
            <w:r w:rsidRPr="001C3466">
              <w:rPr>
                <w:rFonts w:cs="David"/>
                <w:szCs w:val="24"/>
                <w:rtl/>
              </w:rPr>
              <w:t xml:space="preserve"> </w:t>
            </w:r>
            <w:r w:rsidRPr="001C3466">
              <w:rPr>
                <w:rFonts w:cs="David" w:hint="eastAsia"/>
                <w:szCs w:val="24"/>
                <w:rtl/>
              </w:rPr>
              <w:t>אשראי</w:t>
            </w:r>
            <w:r w:rsidRPr="001C3466">
              <w:rPr>
                <w:rFonts w:cs="David"/>
                <w:szCs w:val="24"/>
                <w:rtl/>
              </w:rPr>
              <w:t xml:space="preserve"> </w:t>
            </w:r>
            <w:r w:rsidRPr="001C3466">
              <w:rPr>
                <w:rFonts w:cs="David" w:hint="eastAsia"/>
                <w:szCs w:val="24"/>
                <w:rtl/>
              </w:rPr>
              <w:t>בעקבות</w:t>
            </w:r>
            <w:r w:rsidRPr="001C3466">
              <w:rPr>
                <w:rFonts w:cs="David"/>
                <w:szCs w:val="24"/>
                <w:rtl/>
              </w:rPr>
              <w:t xml:space="preserve"> </w:t>
            </w:r>
            <w:r w:rsidRPr="001C3466">
              <w:rPr>
                <w:rFonts w:cs="David" w:hint="eastAsia"/>
                <w:szCs w:val="24"/>
                <w:rtl/>
              </w:rPr>
              <w:t>מידע</w:t>
            </w:r>
            <w:r w:rsidRPr="001C3466">
              <w:rPr>
                <w:rFonts w:cs="David"/>
                <w:szCs w:val="24"/>
                <w:rtl/>
              </w:rPr>
              <w:t xml:space="preserve"> </w:t>
            </w:r>
            <w:r w:rsidRPr="001C3466">
              <w:rPr>
                <w:rFonts w:cs="David" w:hint="eastAsia"/>
                <w:szCs w:val="24"/>
                <w:rtl/>
              </w:rPr>
              <w:t>שלילי</w:t>
            </w:r>
            <w:r w:rsidRPr="001C3466">
              <w:rPr>
                <w:rFonts w:cs="David"/>
                <w:szCs w:val="24"/>
                <w:rtl/>
              </w:rPr>
              <w:t xml:space="preserve"> </w:t>
            </w:r>
            <w:r w:rsidRPr="001C3466">
              <w:rPr>
                <w:rFonts w:cs="David" w:hint="eastAsia"/>
                <w:szCs w:val="24"/>
                <w:rtl/>
              </w:rPr>
              <w:t>במאגר</w:t>
            </w:r>
            <w:r w:rsidRPr="001C3466">
              <w:rPr>
                <w:rFonts w:cs="David"/>
                <w:szCs w:val="24"/>
                <w:rtl/>
              </w:rPr>
              <w:t>.</w:t>
            </w:r>
          </w:p>
          <w:p w14:paraId="3A0E51D3" w14:textId="1F418712" w:rsidR="00BE3D2D" w:rsidRDefault="00BE3D2D" w:rsidP="00BE3D2D">
            <w:pPr>
              <w:bidi/>
              <w:spacing w:before="120" w:after="120" w:line="360" w:lineRule="auto"/>
              <w:jc w:val="both"/>
              <w:rPr>
                <w:rFonts w:eastAsia="Calibri" w:cs="David" w:hint="cs"/>
                <w:sz w:val="24"/>
                <w:szCs w:val="24"/>
                <w:rtl/>
              </w:rPr>
            </w:pPr>
            <w:r>
              <w:rPr>
                <w:rFonts w:cs="David" w:hint="cs"/>
                <w:szCs w:val="24"/>
                <w:rtl/>
              </w:rPr>
              <w:t xml:space="preserve">יבוא - </w:t>
            </w:r>
            <w:r w:rsidRPr="001C3466">
              <w:rPr>
                <w:rFonts w:cs="David" w:hint="eastAsia"/>
                <w:szCs w:val="24"/>
                <w:rtl/>
              </w:rPr>
              <w:t>המלצות</w:t>
            </w:r>
            <w:r w:rsidRPr="001C3466">
              <w:rPr>
                <w:rFonts w:cs="David"/>
                <w:szCs w:val="24"/>
                <w:rtl/>
              </w:rPr>
              <w:t xml:space="preserve"> </w:t>
            </w:r>
            <w:r w:rsidRPr="001C3466">
              <w:rPr>
                <w:rFonts w:cs="David" w:hint="eastAsia"/>
                <w:szCs w:val="24"/>
                <w:rtl/>
              </w:rPr>
              <w:t>אודות</w:t>
            </w:r>
            <w:r w:rsidRPr="001C3466">
              <w:rPr>
                <w:rFonts w:cs="David"/>
                <w:szCs w:val="24"/>
                <w:rtl/>
              </w:rPr>
              <w:t xml:space="preserve"> </w:t>
            </w:r>
            <w:r w:rsidRPr="001C3466">
              <w:rPr>
                <w:rFonts w:cs="David" w:hint="eastAsia"/>
                <w:szCs w:val="24"/>
                <w:rtl/>
              </w:rPr>
              <w:t>תפעולו</w:t>
            </w:r>
            <w:r w:rsidRPr="001C3466">
              <w:rPr>
                <w:rFonts w:cs="David"/>
                <w:szCs w:val="24"/>
                <w:rtl/>
              </w:rPr>
              <w:t xml:space="preserve"> </w:t>
            </w:r>
            <w:r w:rsidRPr="001C3466">
              <w:rPr>
                <w:rFonts w:cs="David" w:hint="eastAsia"/>
                <w:szCs w:val="24"/>
                <w:rtl/>
              </w:rPr>
              <w:t>של</w:t>
            </w:r>
            <w:r w:rsidRPr="001C3466">
              <w:rPr>
                <w:rFonts w:cs="David"/>
                <w:szCs w:val="24"/>
                <w:rtl/>
              </w:rPr>
              <w:t xml:space="preserve"> </w:t>
            </w:r>
            <w:r w:rsidRPr="001C3466">
              <w:rPr>
                <w:rFonts w:cs="David" w:hint="eastAsia"/>
                <w:szCs w:val="24"/>
                <w:rtl/>
              </w:rPr>
              <w:t>המנגנון</w:t>
            </w:r>
            <w:r w:rsidRPr="001C3466">
              <w:rPr>
                <w:rFonts w:cs="David"/>
                <w:szCs w:val="24"/>
                <w:rtl/>
              </w:rPr>
              <w:t xml:space="preserve"> </w:t>
            </w:r>
            <w:r w:rsidRPr="001C3466">
              <w:rPr>
                <w:rFonts w:cs="David" w:hint="eastAsia"/>
                <w:szCs w:val="24"/>
                <w:rtl/>
              </w:rPr>
              <w:t>באופן</w:t>
            </w:r>
            <w:r w:rsidRPr="001C3466">
              <w:rPr>
                <w:rFonts w:cs="David"/>
                <w:szCs w:val="24"/>
                <w:rtl/>
              </w:rPr>
              <w:t xml:space="preserve"> </w:t>
            </w:r>
            <w:r>
              <w:rPr>
                <w:rFonts w:cs="David" w:hint="cs"/>
                <w:szCs w:val="24"/>
                <w:rtl/>
              </w:rPr>
              <w:t>שיאפשר ללווים בעלי דירוג אשראי נמוך לקבל הלוואות בתנאים שיסייעו להם ל</w:t>
            </w:r>
            <w:r>
              <w:rPr>
                <w:rFonts w:eastAsia="Calibri" w:cs="David" w:hint="cs"/>
                <w:sz w:val="24"/>
                <w:szCs w:val="24"/>
                <w:rtl/>
              </w:rPr>
              <w:t>החזיר את ההלוואות</w:t>
            </w:r>
            <w:r>
              <w:rPr>
                <w:rFonts w:eastAsia="Calibri" w:cs="David" w:hint="cs"/>
                <w:sz w:val="24"/>
                <w:szCs w:val="24"/>
                <w:rtl/>
                <w:lang w:bidi="he-IL"/>
              </w:rPr>
              <w:t xml:space="preserve"> </w:t>
            </w:r>
            <w:r>
              <w:rPr>
                <w:rFonts w:eastAsia="Calibri" w:cs="David" w:hint="cs"/>
                <w:sz w:val="24"/>
                <w:szCs w:val="24"/>
                <w:rtl/>
              </w:rPr>
              <w:t>במועדן ובכך לשפר את דירוג האשראי שלהם.</w:t>
            </w:r>
          </w:p>
        </w:tc>
        <w:tc>
          <w:tcPr>
            <w:tcW w:w="2278" w:type="pct"/>
          </w:tcPr>
          <w:p w14:paraId="5265EC62" w14:textId="3B919CB8" w:rsidR="00BE3D2D" w:rsidRPr="00801B12" w:rsidRDefault="00BE3D2D" w:rsidP="00BE3D2D">
            <w:pPr>
              <w:bidi/>
              <w:spacing w:before="120" w:after="120" w:line="360" w:lineRule="auto"/>
              <w:jc w:val="both"/>
              <w:rPr>
                <w:rFonts w:eastAsia="Calibri" w:cs="David" w:hint="cs"/>
                <w:sz w:val="24"/>
                <w:szCs w:val="24"/>
                <w:rtl/>
              </w:rPr>
            </w:pPr>
            <w:r w:rsidRPr="00895207">
              <w:rPr>
                <w:rFonts w:eastAsia="Calibri" w:cs="David"/>
                <w:sz w:val="24"/>
                <w:szCs w:val="24"/>
                <w:rtl/>
              </w:rPr>
              <w:t>כיצד יכולה להיות לנו השפעה על אופן שיפור האשראי - האם מדובר בקידום חקיקה ? האם הכוונה לנוסחה</w:t>
            </w:r>
            <w:r>
              <w:rPr>
                <w:rFonts w:eastAsia="Calibri" w:cs="David" w:hint="cs"/>
                <w:sz w:val="24"/>
                <w:szCs w:val="24"/>
                <w:rtl/>
                <w:lang w:bidi="he-IL"/>
              </w:rPr>
              <w:t xml:space="preserve"> </w:t>
            </w:r>
            <w:r w:rsidRPr="00895207">
              <w:rPr>
                <w:rFonts w:eastAsia="Calibri" w:cs="David"/>
                <w:sz w:val="24"/>
                <w:szCs w:val="24"/>
                <w:rtl/>
              </w:rPr>
              <w:t>שתוצע על ידנו ותוטמע במערכות</w:t>
            </w:r>
            <w:r>
              <w:rPr>
                <w:rFonts w:eastAsia="Calibri" w:cs="David" w:hint="cs"/>
                <w:sz w:val="24"/>
                <w:szCs w:val="24"/>
                <w:rtl/>
                <w:lang w:bidi="he-IL"/>
              </w:rPr>
              <w:t xml:space="preserve">? </w:t>
            </w:r>
            <w:r w:rsidRPr="00895207">
              <w:rPr>
                <w:rFonts w:eastAsia="Calibri" w:cs="David"/>
                <w:sz w:val="24"/>
                <w:szCs w:val="24"/>
                <w:rtl/>
              </w:rPr>
              <w:t>האם מדובר בתיקון מידע / דיווח מידע למאגר המידע בבנק ישראל?</w:t>
            </w:r>
          </w:p>
        </w:tc>
        <w:tc>
          <w:tcPr>
            <w:tcW w:w="446" w:type="pct"/>
          </w:tcPr>
          <w:p w14:paraId="2B2A588D" w14:textId="54DCEDEE" w:rsidR="00BE3D2D" w:rsidRDefault="00BE3D2D" w:rsidP="00BE3D2D">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right"/>
              <w:rPr>
                <w:rFonts w:eastAsia="Calibri" w:cs="David" w:hint="cs"/>
                <w:sz w:val="24"/>
                <w:szCs w:val="24"/>
                <w:rtl/>
                <w:lang w:bidi="he-IL"/>
              </w:rPr>
            </w:pPr>
            <w:r>
              <w:rPr>
                <w:rFonts w:eastAsia="Calibri" w:cs="David" w:hint="cs"/>
                <w:sz w:val="24"/>
                <w:szCs w:val="24"/>
                <w:rtl/>
                <w:lang w:bidi="he-IL"/>
              </w:rPr>
              <w:t>2.8</w:t>
            </w:r>
          </w:p>
        </w:tc>
      </w:tr>
      <w:tr w:rsidR="00BE3D2D" w14:paraId="2284E983" w14:textId="77777777" w:rsidTr="00BE3D2D">
        <w:trPr>
          <w:jc w:val="right"/>
        </w:trPr>
        <w:tc>
          <w:tcPr>
            <w:tcW w:w="2276" w:type="pct"/>
          </w:tcPr>
          <w:p w14:paraId="4FD55249" w14:textId="5FFF02FB" w:rsidR="00BE3D2D" w:rsidRPr="001A5D2C" w:rsidRDefault="00BE3D2D" w:rsidP="00BE3D2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bidi/>
              <w:spacing w:before="120" w:line="360" w:lineRule="auto"/>
              <w:jc w:val="both"/>
              <w:rPr>
                <w:rFonts w:eastAsia="Calibri" w:cs="David"/>
                <w:sz w:val="24"/>
                <w:szCs w:val="24"/>
                <w:rtl/>
              </w:rPr>
            </w:pPr>
            <w:r>
              <w:rPr>
                <w:rFonts w:eastAsia="Calibri" w:cs="David" w:hint="cs"/>
                <w:sz w:val="24"/>
                <w:szCs w:val="24"/>
                <w:rtl/>
              </w:rPr>
              <w:lastRenderedPageBreak/>
              <w:t>השאלה לא ברורה.</w:t>
            </w:r>
          </w:p>
        </w:tc>
        <w:tc>
          <w:tcPr>
            <w:tcW w:w="2278" w:type="pct"/>
          </w:tcPr>
          <w:p w14:paraId="45C2891F" w14:textId="55224075" w:rsidR="00BE3D2D" w:rsidRPr="00801B12" w:rsidRDefault="00BE3D2D" w:rsidP="00BE3D2D">
            <w:pPr>
              <w:bidi/>
              <w:spacing w:before="120" w:after="120" w:line="360" w:lineRule="auto"/>
              <w:jc w:val="both"/>
              <w:rPr>
                <w:rFonts w:eastAsia="Calibri" w:cs="David"/>
                <w:sz w:val="24"/>
                <w:szCs w:val="24"/>
                <w:rtl/>
              </w:rPr>
            </w:pPr>
            <w:r w:rsidRPr="00801B12">
              <w:rPr>
                <w:rFonts w:eastAsia="Calibri" w:cs="David"/>
                <w:sz w:val="24"/>
                <w:szCs w:val="24"/>
                <w:rtl/>
              </w:rPr>
              <w:t>1.1.2. שירותי ייעוץ - מתן ייעוץ פיננסי למקבלי ההלוואה בדגש על צרכנות נבונה, מיפוי הוצאות והכנסות, ניהול התקציב המשפחתי, תכנון עתידי וכד', באמצעות נציגי הגופים או באמצעות קבלני משנה אשר יהיו מסוגלים לספק שירות זה.</w:t>
            </w:r>
          </w:p>
        </w:tc>
        <w:tc>
          <w:tcPr>
            <w:tcW w:w="446" w:type="pct"/>
          </w:tcPr>
          <w:p w14:paraId="5313327E" w14:textId="1E0FAA36" w:rsidR="00BE3D2D" w:rsidRPr="00801B12" w:rsidRDefault="00BE3D2D" w:rsidP="00BE3D2D">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rPr>
                <w:rFonts w:eastAsia="Calibri" w:cs="David"/>
                <w:sz w:val="24"/>
                <w:szCs w:val="24"/>
                <w:rtl/>
              </w:rPr>
            </w:pPr>
            <w:r>
              <w:rPr>
                <w:rFonts w:eastAsia="Calibri" w:cs="David" w:hint="cs"/>
                <w:sz w:val="24"/>
                <w:szCs w:val="24"/>
                <w:rtl/>
              </w:rPr>
              <w:t xml:space="preserve">1.1.2 </w:t>
            </w:r>
          </w:p>
        </w:tc>
      </w:tr>
    </w:tbl>
    <w:p w14:paraId="6E917D8D" w14:textId="77777777" w:rsidR="45508A28" w:rsidRDefault="45508A28" w:rsidP="00CA7516">
      <w:pPr>
        <w:jc w:val="both"/>
      </w:pPr>
    </w:p>
    <w:sectPr w:rsidR="45508A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448E0"/>
    <w:multiLevelType w:val="hybridMultilevel"/>
    <w:tmpl w:val="E4AEAD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0D156D"/>
    <w:multiLevelType w:val="hybridMultilevel"/>
    <w:tmpl w:val="0B30830E"/>
    <w:lvl w:ilvl="0" w:tplc="DCEE46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45256674"/>
    <w:multiLevelType w:val="hybridMultilevel"/>
    <w:tmpl w:val="0B30830E"/>
    <w:lvl w:ilvl="0" w:tplc="DCEE4686">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591D758E"/>
    <w:multiLevelType w:val="hybridMultilevel"/>
    <w:tmpl w:val="0B30830E"/>
    <w:lvl w:ilvl="0" w:tplc="DCEE46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FDF2FA0"/>
    <w:multiLevelType w:val="hybridMultilevel"/>
    <w:tmpl w:val="0B30830E"/>
    <w:lvl w:ilvl="0" w:tplc="DCEE4686">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60DA68A7"/>
    <w:multiLevelType w:val="hybridMultilevel"/>
    <w:tmpl w:val="0B30830E"/>
    <w:lvl w:ilvl="0" w:tplc="DCEE46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9F52BD5"/>
    <w:multiLevelType w:val="hybridMultilevel"/>
    <w:tmpl w:val="0B30830E"/>
    <w:lvl w:ilvl="0" w:tplc="DCEE46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BFB453E"/>
    <w:multiLevelType w:val="hybridMultilevel"/>
    <w:tmpl w:val="0B30830E"/>
    <w:lvl w:ilvl="0" w:tplc="DCEE4686">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
  </w:num>
  <w:num w:numId="2">
    <w:abstractNumId w:val="7"/>
  </w:num>
  <w:num w:numId="3">
    <w:abstractNumId w:val="4"/>
  </w:num>
  <w:num w:numId="4">
    <w:abstractNumId w:val="2"/>
  </w:num>
  <w:num w:numId="5">
    <w:abstractNumId w:val="6"/>
  </w:num>
  <w:num w:numId="6">
    <w:abstractNumId w:val="5"/>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B3FE205"/>
    <w:rsid w:val="000152C3"/>
    <w:rsid w:val="00110809"/>
    <w:rsid w:val="00184B0C"/>
    <w:rsid w:val="00205E99"/>
    <w:rsid w:val="00232289"/>
    <w:rsid w:val="00263BBD"/>
    <w:rsid w:val="002E0E7F"/>
    <w:rsid w:val="003620F4"/>
    <w:rsid w:val="003A20C4"/>
    <w:rsid w:val="003A20DE"/>
    <w:rsid w:val="00463E99"/>
    <w:rsid w:val="004E087B"/>
    <w:rsid w:val="004F3843"/>
    <w:rsid w:val="005A7DBA"/>
    <w:rsid w:val="0060628C"/>
    <w:rsid w:val="0068668F"/>
    <w:rsid w:val="006D17E9"/>
    <w:rsid w:val="00716B92"/>
    <w:rsid w:val="00815B21"/>
    <w:rsid w:val="00881A30"/>
    <w:rsid w:val="00912453"/>
    <w:rsid w:val="00965192"/>
    <w:rsid w:val="009B5885"/>
    <w:rsid w:val="00B84F21"/>
    <w:rsid w:val="00BE3D2D"/>
    <w:rsid w:val="00C44876"/>
    <w:rsid w:val="00CA7516"/>
    <w:rsid w:val="00CE4168"/>
    <w:rsid w:val="00E3309D"/>
    <w:rsid w:val="00EC6F9F"/>
    <w:rsid w:val="00F47BFB"/>
    <w:rsid w:val="00FA343C"/>
    <w:rsid w:val="00FF5A4F"/>
    <w:rsid w:val="01080AD5"/>
    <w:rsid w:val="02484620"/>
    <w:rsid w:val="1201AC8C"/>
    <w:rsid w:val="135E4687"/>
    <w:rsid w:val="15A2FFF9"/>
    <w:rsid w:val="1CDFE6C6"/>
    <w:rsid w:val="1E8098E8"/>
    <w:rsid w:val="1F1C52A1"/>
    <w:rsid w:val="25E778ED"/>
    <w:rsid w:val="2889EEC4"/>
    <w:rsid w:val="29ACFC26"/>
    <w:rsid w:val="2A0792BA"/>
    <w:rsid w:val="2B3FE205"/>
    <w:rsid w:val="2B48CC87"/>
    <w:rsid w:val="3053F00C"/>
    <w:rsid w:val="3845D994"/>
    <w:rsid w:val="391357CD"/>
    <w:rsid w:val="3D467637"/>
    <w:rsid w:val="3E8A1E03"/>
    <w:rsid w:val="41102CB1"/>
    <w:rsid w:val="45508A28"/>
    <w:rsid w:val="47770A2E"/>
    <w:rsid w:val="4A75ED0F"/>
    <w:rsid w:val="4B614D03"/>
    <w:rsid w:val="4FA0AAA1"/>
    <w:rsid w:val="50DF8AA6"/>
    <w:rsid w:val="5392B910"/>
    <w:rsid w:val="547E5E3C"/>
    <w:rsid w:val="56101F23"/>
    <w:rsid w:val="57D2ACE3"/>
    <w:rsid w:val="59E9994E"/>
    <w:rsid w:val="5E23E5A7"/>
    <w:rsid w:val="60AFC035"/>
    <w:rsid w:val="620EAAD4"/>
    <w:rsid w:val="6E3B07D9"/>
    <w:rsid w:val="6FBFA013"/>
    <w:rsid w:val="71468391"/>
    <w:rsid w:val="775A284B"/>
    <w:rsid w:val="777A50EB"/>
    <w:rsid w:val="7D9382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4976E"/>
  <w15:chartTrackingRefBased/>
  <w15:docId w15:val="{5279FB3E-49D1-4DCA-AC7F-3D67D37FB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FF5A4F"/>
    <w:pPr>
      <w:ind w:left="720"/>
      <w:contextualSpacing/>
    </w:pPr>
  </w:style>
  <w:style w:type="paragraph" w:styleId="a5">
    <w:name w:val="Balloon Text"/>
    <w:basedOn w:val="a"/>
    <w:link w:val="a6"/>
    <w:uiPriority w:val="99"/>
    <w:semiHidden/>
    <w:unhideWhenUsed/>
    <w:rsid w:val="004E087B"/>
    <w:pPr>
      <w:spacing w:after="0" w:line="240" w:lineRule="auto"/>
    </w:pPr>
    <w:rPr>
      <w:rFonts w:ascii="Segoe UI" w:hAnsi="Segoe UI" w:cs="Segoe UI"/>
      <w:sz w:val="18"/>
      <w:szCs w:val="18"/>
    </w:rPr>
  </w:style>
  <w:style w:type="character" w:customStyle="1" w:styleId="a6">
    <w:name w:val="טקסט בלונים תו"/>
    <w:basedOn w:val="a0"/>
    <w:link w:val="a5"/>
    <w:uiPriority w:val="99"/>
    <w:semiHidden/>
    <w:rsid w:val="004E087B"/>
    <w:rPr>
      <w:rFonts w:ascii="Segoe UI" w:hAnsi="Segoe UI" w:cs="Segoe UI"/>
      <w:sz w:val="18"/>
      <w:szCs w:val="18"/>
    </w:rPr>
  </w:style>
  <w:style w:type="character" w:customStyle="1" w:styleId="normaltextrun">
    <w:name w:val="normaltextrun"/>
    <w:basedOn w:val="a0"/>
    <w:rsid w:val="00C44876"/>
  </w:style>
  <w:style w:type="character" w:styleId="a7">
    <w:name w:val="annotation reference"/>
    <w:basedOn w:val="a0"/>
    <w:uiPriority w:val="99"/>
    <w:semiHidden/>
    <w:unhideWhenUsed/>
    <w:rsid w:val="00B84F21"/>
    <w:rPr>
      <w:sz w:val="16"/>
      <w:szCs w:val="16"/>
    </w:rPr>
  </w:style>
  <w:style w:type="paragraph" w:styleId="a8">
    <w:name w:val="annotation text"/>
    <w:basedOn w:val="a"/>
    <w:link w:val="a9"/>
    <w:uiPriority w:val="99"/>
    <w:semiHidden/>
    <w:unhideWhenUsed/>
    <w:rsid w:val="00B84F21"/>
    <w:pPr>
      <w:spacing w:line="240" w:lineRule="auto"/>
    </w:pPr>
    <w:rPr>
      <w:sz w:val="20"/>
      <w:szCs w:val="20"/>
    </w:rPr>
  </w:style>
  <w:style w:type="character" w:customStyle="1" w:styleId="a9">
    <w:name w:val="טקסט הערה תו"/>
    <w:basedOn w:val="a0"/>
    <w:link w:val="a8"/>
    <w:uiPriority w:val="99"/>
    <w:semiHidden/>
    <w:rsid w:val="00B84F21"/>
    <w:rPr>
      <w:sz w:val="20"/>
      <w:szCs w:val="20"/>
    </w:rPr>
  </w:style>
  <w:style w:type="paragraph" w:styleId="aa">
    <w:name w:val="annotation subject"/>
    <w:basedOn w:val="a8"/>
    <w:next w:val="a8"/>
    <w:link w:val="ab"/>
    <w:uiPriority w:val="99"/>
    <w:semiHidden/>
    <w:unhideWhenUsed/>
    <w:rsid w:val="00B84F21"/>
    <w:rPr>
      <w:b/>
      <w:bCs/>
    </w:rPr>
  </w:style>
  <w:style w:type="character" w:customStyle="1" w:styleId="ab">
    <w:name w:val="נושא הערה תו"/>
    <w:basedOn w:val="a9"/>
    <w:link w:val="aa"/>
    <w:uiPriority w:val="99"/>
    <w:semiHidden/>
    <w:rsid w:val="00B84F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0373986">
      <w:bodyDiv w:val="1"/>
      <w:marLeft w:val="0"/>
      <w:marRight w:val="0"/>
      <w:marTop w:val="0"/>
      <w:marBottom w:val="0"/>
      <w:divBdr>
        <w:top w:val="none" w:sz="0" w:space="0" w:color="auto"/>
        <w:left w:val="none" w:sz="0" w:space="0" w:color="auto"/>
        <w:bottom w:val="none" w:sz="0" w:space="0" w:color="auto"/>
        <w:right w:val="none" w:sz="0" w:space="0" w:color="auto"/>
      </w:divBdr>
      <w:divsChild>
        <w:div w:id="374741952">
          <w:marLeft w:val="0"/>
          <w:marRight w:val="0"/>
          <w:marTop w:val="0"/>
          <w:marBottom w:val="0"/>
          <w:divBdr>
            <w:top w:val="none" w:sz="0" w:space="0" w:color="auto"/>
            <w:left w:val="none" w:sz="0" w:space="0" w:color="auto"/>
            <w:bottom w:val="none" w:sz="0" w:space="0" w:color="auto"/>
            <w:right w:val="none" w:sz="0" w:space="0" w:color="auto"/>
          </w:divBdr>
        </w:div>
        <w:div w:id="431828111">
          <w:marLeft w:val="0"/>
          <w:marRight w:val="0"/>
          <w:marTop w:val="0"/>
          <w:marBottom w:val="0"/>
          <w:divBdr>
            <w:top w:val="none" w:sz="0" w:space="0" w:color="auto"/>
            <w:left w:val="none" w:sz="0" w:space="0" w:color="auto"/>
            <w:bottom w:val="none" w:sz="0" w:space="0" w:color="auto"/>
            <w:right w:val="none" w:sz="0" w:space="0" w:color="auto"/>
          </w:divBdr>
        </w:div>
        <w:div w:id="565605881">
          <w:marLeft w:val="0"/>
          <w:marRight w:val="0"/>
          <w:marTop w:val="0"/>
          <w:marBottom w:val="0"/>
          <w:divBdr>
            <w:top w:val="none" w:sz="0" w:space="0" w:color="auto"/>
            <w:left w:val="none" w:sz="0" w:space="0" w:color="auto"/>
            <w:bottom w:val="none" w:sz="0" w:space="0" w:color="auto"/>
            <w:right w:val="none" w:sz="0" w:space="0" w:color="auto"/>
          </w:divBdr>
        </w:div>
        <w:div w:id="1337414769">
          <w:marLeft w:val="0"/>
          <w:marRight w:val="0"/>
          <w:marTop w:val="0"/>
          <w:marBottom w:val="0"/>
          <w:divBdr>
            <w:top w:val="none" w:sz="0" w:space="0" w:color="auto"/>
            <w:left w:val="none" w:sz="0" w:space="0" w:color="auto"/>
            <w:bottom w:val="none" w:sz="0" w:space="0" w:color="auto"/>
            <w:right w:val="none" w:sz="0" w:space="0" w:color="auto"/>
          </w:divBdr>
        </w:div>
        <w:div w:id="126558652">
          <w:marLeft w:val="0"/>
          <w:marRight w:val="0"/>
          <w:marTop w:val="0"/>
          <w:marBottom w:val="0"/>
          <w:divBdr>
            <w:top w:val="none" w:sz="0" w:space="0" w:color="auto"/>
            <w:left w:val="none" w:sz="0" w:space="0" w:color="auto"/>
            <w:bottom w:val="none" w:sz="0" w:space="0" w:color="auto"/>
            <w:right w:val="none" w:sz="0" w:space="0" w:color="auto"/>
          </w:divBdr>
        </w:div>
        <w:div w:id="842668033">
          <w:marLeft w:val="0"/>
          <w:marRight w:val="0"/>
          <w:marTop w:val="0"/>
          <w:marBottom w:val="0"/>
          <w:divBdr>
            <w:top w:val="none" w:sz="0" w:space="0" w:color="auto"/>
            <w:left w:val="none" w:sz="0" w:space="0" w:color="auto"/>
            <w:bottom w:val="none" w:sz="0" w:space="0" w:color="auto"/>
            <w:right w:val="none" w:sz="0" w:space="0" w:color="auto"/>
          </w:divBdr>
        </w:div>
        <w:div w:id="1751001101">
          <w:marLeft w:val="0"/>
          <w:marRight w:val="0"/>
          <w:marTop w:val="0"/>
          <w:marBottom w:val="0"/>
          <w:divBdr>
            <w:top w:val="none" w:sz="0" w:space="0" w:color="auto"/>
            <w:left w:val="none" w:sz="0" w:space="0" w:color="auto"/>
            <w:bottom w:val="none" w:sz="0" w:space="0" w:color="auto"/>
            <w:right w:val="none" w:sz="0" w:space="0" w:color="auto"/>
          </w:divBdr>
        </w:div>
        <w:div w:id="1782799371">
          <w:marLeft w:val="0"/>
          <w:marRight w:val="0"/>
          <w:marTop w:val="0"/>
          <w:marBottom w:val="0"/>
          <w:divBdr>
            <w:top w:val="none" w:sz="0" w:space="0" w:color="auto"/>
            <w:left w:val="none" w:sz="0" w:space="0" w:color="auto"/>
            <w:bottom w:val="none" w:sz="0" w:space="0" w:color="auto"/>
            <w:right w:val="none" w:sz="0" w:space="0" w:color="auto"/>
          </w:divBdr>
        </w:div>
        <w:div w:id="2062292224">
          <w:marLeft w:val="0"/>
          <w:marRight w:val="0"/>
          <w:marTop w:val="0"/>
          <w:marBottom w:val="0"/>
          <w:divBdr>
            <w:top w:val="none" w:sz="0" w:space="0" w:color="auto"/>
            <w:left w:val="none" w:sz="0" w:space="0" w:color="auto"/>
            <w:bottom w:val="none" w:sz="0" w:space="0" w:color="auto"/>
            <w:right w:val="none" w:sz="0" w:space="0" w:color="auto"/>
          </w:divBdr>
        </w:div>
        <w:div w:id="1869178579">
          <w:marLeft w:val="0"/>
          <w:marRight w:val="0"/>
          <w:marTop w:val="0"/>
          <w:marBottom w:val="0"/>
          <w:divBdr>
            <w:top w:val="none" w:sz="0" w:space="0" w:color="auto"/>
            <w:left w:val="none" w:sz="0" w:space="0" w:color="auto"/>
            <w:bottom w:val="none" w:sz="0" w:space="0" w:color="auto"/>
            <w:right w:val="none" w:sz="0" w:space="0" w:color="auto"/>
          </w:divBdr>
        </w:div>
        <w:div w:id="551582040">
          <w:marLeft w:val="0"/>
          <w:marRight w:val="0"/>
          <w:marTop w:val="0"/>
          <w:marBottom w:val="0"/>
          <w:divBdr>
            <w:top w:val="none" w:sz="0" w:space="0" w:color="auto"/>
            <w:left w:val="none" w:sz="0" w:space="0" w:color="auto"/>
            <w:bottom w:val="none" w:sz="0" w:space="0" w:color="auto"/>
            <w:right w:val="none" w:sz="0" w:space="0" w:color="auto"/>
          </w:divBdr>
        </w:div>
        <w:div w:id="2096971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4CCE4C73C71B4C937837404C58BEB2" ma:contentTypeVersion="6" ma:contentTypeDescription="Create a new document." ma:contentTypeScope="" ma:versionID="011e6811cffa9c7a9ac184ab001175da">
  <xsd:schema xmlns:xsd="http://www.w3.org/2001/XMLSchema" xmlns:xs="http://www.w3.org/2001/XMLSchema" xmlns:p="http://schemas.microsoft.com/office/2006/metadata/properties" xmlns:ns2="2b7b4aa5-2545-4ed5-bbf7-85751a34f8df" xmlns:ns3="0382a3dc-ac6b-4436-bdba-cd4bdebff50d" targetNamespace="http://schemas.microsoft.com/office/2006/metadata/properties" ma:root="true" ma:fieldsID="e0960038d32e7ab749fe04758bbbbc7b" ns2:_="" ns3:_="">
    <xsd:import namespace="2b7b4aa5-2545-4ed5-bbf7-85751a34f8df"/>
    <xsd:import namespace="0382a3dc-ac6b-4436-bdba-cd4bdebff5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7b4aa5-2545-4ed5-bbf7-85751a34f8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382a3dc-ac6b-4436-bdba-cd4bdebff50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382a3dc-ac6b-4436-bdba-cd4bdebff50d">
      <UserInfo>
        <DisplayName>Danny Singer</DisplayName>
        <AccountId>12</AccountId>
        <AccountType/>
      </UserInfo>
    </SharedWithUsers>
  </documentManagement>
</p:properties>
</file>

<file path=customXml/itemProps1.xml><?xml version="1.0" encoding="utf-8"?>
<ds:datastoreItem xmlns:ds="http://schemas.openxmlformats.org/officeDocument/2006/customXml" ds:itemID="{96B83444-258B-415F-95EB-3D54F6B8852A}">
  <ds:schemaRefs>
    <ds:schemaRef ds:uri="http://schemas.microsoft.com/sharepoint/v3/contenttype/forms"/>
  </ds:schemaRefs>
</ds:datastoreItem>
</file>

<file path=customXml/itemProps2.xml><?xml version="1.0" encoding="utf-8"?>
<ds:datastoreItem xmlns:ds="http://schemas.openxmlformats.org/officeDocument/2006/customXml" ds:itemID="{543CCA87-D734-4B84-A910-A47C6DAD2E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7b4aa5-2545-4ed5-bbf7-85751a34f8df"/>
    <ds:schemaRef ds:uri="0382a3dc-ac6b-4436-bdba-cd4bdebff5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22941B-C612-474E-BDE7-F1827E26FA6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2b7b4aa5-2545-4ed5-bbf7-85751a34f8df"/>
    <ds:schemaRef ds:uri="http://purl.org/dc/elements/1.1/"/>
    <ds:schemaRef ds:uri="http://schemas.microsoft.com/office/2006/metadata/properties"/>
    <ds:schemaRef ds:uri="0382a3dc-ac6b-4436-bdba-cd4bdebff50d"/>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545</Words>
  <Characters>2725</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 Singer</dc:creator>
  <cp:keywords/>
  <dc:description/>
  <cp:lastModifiedBy>נועה וידר</cp:lastModifiedBy>
  <cp:revision>4</cp:revision>
  <cp:lastPrinted>2020-12-22T17:53:00Z</cp:lastPrinted>
  <dcterms:created xsi:type="dcterms:W3CDTF">2020-12-22T17:48:00Z</dcterms:created>
  <dcterms:modified xsi:type="dcterms:W3CDTF">2020-12-22T17:53:00Z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0x0101003F4CCE4C73C71B4C937837404C58BEB2</vt:lpwstr>
  </property>
</Properties>
</file>